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Style w:val="1250"/>
          <w:rFonts w:ascii="宋体" w:hAnsi="宋体"/>
          <w:color w:val="auto"/>
          <w:sz w:val="110"/>
          <w:highlight w:val="none"/>
        </w:rPr>
      </w:pPr>
      <w:r>
        <w:rPr>
          <w:rFonts w:ascii="宋体" w:hAnsi="宋体"/>
          <w:color w:val="auto"/>
          <w:sz w:val="110"/>
          <w:highlight w:val="none"/>
        </w:rPr>
      </w:r>
      <w:r/>
    </w:p>
    <w:p>
      <w:pPr>
        <w:pStyle w:val="1000"/>
        <w:jc w:val="both"/>
        <w:spacing w:line="360" w:lineRule="auto"/>
        <w:widowControl w:val="off"/>
        <w:rPr>
          <w:rStyle w:val="1250"/>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r>
      <w:r/>
    </w:p>
    <w:p>
      <w:pPr>
        <w:pStyle w:val="1000"/>
        <w:jc w:val="center"/>
        <w:spacing w:line="360" w:lineRule="auto"/>
        <w:widowControl w:val="off"/>
        <w:rPr>
          <w:rStyle w:val="1250"/>
          <w:rFonts w:hint="eastAsia" w:ascii="仿宋" w:hAnsi="仿宋" w:eastAsia="仿宋" w:cs="仿宋"/>
          <w:b/>
          <w:bCs/>
          <w:color w:val="auto"/>
          <w:sz w:val="72"/>
          <w:szCs w:val="72"/>
          <w:highlight w:val="none"/>
        </w:rPr>
      </w:pPr>
      <w:r>
        <w:rPr>
          <w:rStyle w:val="1250"/>
          <w:rFonts w:hint="eastAsia" w:ascii="仿宋" w:hAnsi="仿宋" w:eastAsia="仿宋" w:cs="仿宋"/>
          <w:b/>
          <w:bCs/>
          <w:color w:val="auto"/>
          <w:sz w:val="72"/>
          <w:szCs w:val="72"/>
          <w:highlight w:val="none"/>
        </w:rPr>
        <w:t xml:space="preserve">竞争性磋商文件</w:t>
      </w:r>
      <w:r/>
    </w:p>
    <w:p>
      <w:pPr>
        <w:pStyle w:val="1000"/>
        <w:jc w:val="left"/>
        <w:widowControl w:val="off"/>
        <w:rPr>
          <w:rStyle w:val="1250"/>
          <w:rFonts w:ascii="宋体" w:hAnsi="宋体"/>
          <w:b/>
          <w:color w:val="auto"/>
          <w:sz w:val="32"/>
          <w:highlight w:val="none"/>
        </w:rPr>
      </w:pPr>
      <w:r>
        <w:rPr>
          <w:rFonts w:ascii="宋体" w:hAnsi="宋体"/>
          <w:b/>
          <w:color w:val="auto"/>
          <w:sz w:val="32"/>
          <w:highlight w:val="none"/>
        </w:rPr>
      </w:r>
      <w:r/>
    </w:p>
    <w:p>
      <w:pPr>
        <w:pStyle w:val="1000"/>
        <w:jc w:val="left"/>
        <w:widowControl w:val="off"/>
        <w:rPr>
          <w:rStyle w:val="1250"/>
          <w:rFonts w:ascii="宋体" w:hAnsi="宋体"/>
          <w:b/>
          <w:color w:val="auto"/>
          <w:sz w:val="32"/>
          <w:highlight w:val="none"/>
        </w:rPr>
      </w:pPr>
      <w:r>
        <w:rPr>
          <w:rFonts w:ascii="宋体" w:hAnsi="宋体"/>
          <w:b/>
          <w:color w:val="auto"/>
          <w:sz w:val="32"/>
          <w:highlight w:val="none"/>
        </w:rPr>
      </w:r>
      <w:r/>
    </w:p>
    <w:p>
      <w:pPr>
        <w:pStyle w:val="1000"/>
        <w:ind w:firstLine="630"/>
        <w:jc w:val="center"/>
        <w:widowControl w:val="off"/>
        <w:rPr>
          <w:rStyle w:val="1250"/>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1000"/>
        <w:jc w:val="left"/>
        <w:spacing w:line="360" w:lineRule="auto"/>
        <w:widowControl w:val="off"/>
        <w:rPr>
          <w:rStyle w:val="1250"/>
          <w:rFonts w:hint="eastAsia" w:ascii="仿宋" w:hAnsi="仿宋" w:eastAsia="仿宋" w:cs="仿宋"/>
          <w:color w:val="auto"/>
          <w:sz w:val="32"/>
          <w:szCs w:val="22"/>
          <w:highlight w:val="none"/>
        </w:rPr>
      </w:pPr>
      <w:r>
        <w:rPr>
          <w:rFonts w:hint="eastAsia" w:ascii="仿宋" w:hAnsi="仿宋" w:eastAsia="仿宋" w:cs="仿宋"/>
          <w:color w:val="auto"/>
          <w:sz w:val="32"/>
          <w:szCs w:val="22"/>
          <w:highlight w:val="none"/>
        </w:rPr>
      </w:r>
      <w:r/>
    </w:p>
    <w:p>
      <w:pPr>
        <w:pStyle w:val="1000"/>
        <w:ind w:left="0" w:firstLine="1308"/>
        <w:jc w:val="left"/>
        <w:keepLines w:val="0"/>
        <w:keepNext w:val="0"/>
        <w:pageBreakBefore w:val="0"/>
        <w:spacing w:line="360" w:lineRule="auto"/>
        <w:widowControl w:val="off"/>
        <w:rPr>
          <w:rStyle w:val="1250"/>
          <w:rFonts w:hint="eastAsia" w:ascii="仿宋" w:hAnsi="仿宋" w:eastAsia="仿宋" w:cs="仿宋"/>
          <w:color w:val="auto"/>
          <w:sz w:val="32"/>
          <w:szCs w:val="22"/>
          <w:highlight w:val="none"/>
        </w:rPr>
        <w:outlineLvl w:val="9"/>
      </w:pPr>
      <w:r>
        <w:rPr>
          <w:rFonts w:hint="eastAsia" w:ascii="仿宋" w:hAnsi="仿宋" w:eastAsia="仿宋" w:cs="仿宋"/>
          <w:color w:val="auto"/>
          <w:sz w:val="32"/>
          <w:szCs w:val="22"/>
          <w:highlight w:val="none"/>
        </w:rPr>
      </w:r>
      <w:r/>
    </w:p>
    <w:p>
      <w:pPr>
        <w:pStyle w:val="1000"/>
        <w:ind w:left="0" w:firstLine="1308"/>
        <w:jc w:val="left"/>
        <w:keepLines w:val="0"/>
        <w:keepNext w:val="0"/>
        <w:pageBreakBefore w:val="0"/>
        <w:spacing w:line="480" w:lineRule="auto"/>
        <w:widowControl w:val="off"/>
        <w:rPr>
          <w:rStyle w:val="1250"/>
          <w:rFonts w:hint="eastAsia" w:ascii="仿宋" w:hAnsi="仿宋" w:eastAsia="仿宋" w:cs="仿宋"/>
          <w:color w:val="auto"/>
          <w:sz w:val="32"/>
          <w:szCs w:val="22"/>
          <w:highlight w:val="none"/>
        </w:rPr>
        <w:outlineLvl w:val="9"/>
      </w:pPr>
      <w:r>
        <w:rPr>
          <w:rStyle w:val="1250"/>
          <w:rFonts w:hint="eastAsia" w:ascii="仿宋" w:hAnsi="仿宋" w:eastAsia="仿宋" w:cs="仿宋"/>
          <w:color w:val="auto"/>
          <w:sz w:val="32"/>
          <w:szCs w:val="22"/>
          <w:highlight w:val="none"/>
        </w:rPr>
        <w:t xml:space="preserve">项目名称：</w:t>
      </w:r>
      <w:r>
        <w:rPr>
          <w:rStyle w:val="1250"/>
          <w:rFonts w:hint="eastAsia" w:ascii="仿宋" w:hAnsi="仿宋" w:eastAsia="仿宋" w:cs="仿宋"/>
          <w:color w:val="auto"/>
          <w:sz w:val="32"/>
          <w:szCs w:val="22"/>
          <w:highlight w:val="none"/>
          <w:lang w:eastAsia="zh-CN"/>
        </w:rPr>
        <w:t xml:space="preserve">淮塔园林供水管网改造工程</w:t>
      </w:r>
      <w:r/>
    </w:p>
    <w:p>
      <w:pPr>
        <w:pStyle w:val="1000"/>
        <w:ind w:left="0" w:firstLine="1308"/>
        <w:jc w:val="left"/>
        <w:keepLines w:val="0"/>
        <w:keepNext w:val="0"/>
        <w:pageBreakBefore w:val="0"/>
        <w:spacing w:line="480" w:lineRule="auto"/>
        <w:widowControl w:val="off"/>
        <w:rPr>
          <w:rStyle w:val="1250"/>
          <w:rFonts w:hint="eastAsia" w:ascii="仿宋" w:hAnsi="仿宋" w:eastAsia="仿宋" w:cs="仿宋"/>
          <w:color w:val="auto"/>
          <w:sz w:val="32"/>
          <w:szCs w:val="22"/>
          <w:highlight w:val="none"/>
          <w:lang w:eastAsia="zh-CN"/>
        </w:rPr>
        <w:outlineLvl w:val="9"/>
      </w:pPr>
      <w:r>
        <w:rPr>
          <w:rStyle w:val="1250"/>
          <w:rFonts w:hint="eastAsia" w:ascii="仿宋" w:hAnsi="仿宋" w:eastAsia="仿宋" w:cs="仿宋"/>
          <w:color w:val="auto"/>
          <w:sz w:val="32"/>
          <w:szCs w:val="22"/>
          <w:highlight w:val="none"/>
        </w:rPr>
        <w:t xml:space="preserve">项目编号：</w:t>
      </w:r>
      <w:r>
        <w:rPr>
          <w:rStyle w:val="1250"/>
          <w:rFonts w:hint="eastAsia" w:ascii="仿宋" w:hAnsi="仿宋" w:eastAsia="仿宋" w:cs="仿宋"/>
          <w:color w:val="auto"/>
          <w:sz w:val="32"/>
          <w:szCs w:val="22"/>
          <w:highlight w:val="none"/>
          <w:lang w:eastAsia="zh-CN"/>
        </w:rPr>
        <w:t xml:space="preserve">JSZC-320300-JSCL-C2025-0006</w:t>
      </w:r>
      <w:r/>
    </w:p>
    <w:p>
      <w:pPr>
        <w:pStyle w:val="1000"/>
        <w:ind w:left="0" w:firstLine="1308"/>
        <w:jc w:val="left"/>
        <w:keepLines w:val="0"/>
        <w:keepNext w:val="0"/>
        <w:pageBreakBefore w:val="0"/>
        <w:spacing w:line="480" w:lineRule="auto"/>
        <w:widowControl w:val="off"/>
        <w:rPr>
          <w:rStyle w:val="1250"/>
          <w:rFonts w:hint="eastAsia" w:ascii="仿宋" w:hAnsi="仿宋" w:eastAsia="仿宋" w:cs="仿宋"/>
          <w:color w:val="auto"/>
          <w:sz w:val="32"/>
          <w:szCs w:val="22"/>
          <w:highlight w:val="none"/>
        </w:rPr>
        <w:outlineLvl w:val="9"/>
      </w:pPr>
      <w:r>
        <w:rPr>
          <w:rStyle w:val="1250"/>
          <w:rFonts w:hint="eastAsia" w:ascii="仿宋" w:hAnsi="仿宋" w:eastAsia="仿宋" w:cs="仿宋"/>
          <w:color w:val="auto"/>
          <w:sz w:val="32"/>
          <w:szCs w:val="22"/>
          <w:highlight w:val="none"/>
        </w:rPr>
        <w:t xml:space="preserve">采 购 人：淮海战役烈士纪念塔管理中心</w:t>
      </w:r>
      <w:r/>
    </w:p>
    <w:p>
      <w:pPr>
        <w:pStyle w:val="1000"/>
        <w:ind w:left="0" w:firstLine="1308"/>
        <w:jc w:val="left"/>
        <w:keepLines w:val="0"/>
        <w:keepNext w:val="0"/>
        <w:pageBreakBefore w:val="0"/>
        <w:spacing w:line="480" w:lineRule="auto"/>
        <w:widowControl w:val="off"/>
        <w:rPr>
          <w:rStyle w:val="1250"/>
          <w:rFonts w:hint="eastAsia" w:ascii="仿宋" w:hAnsi="仿宋" w:eastAsia="仿宋" w:cs="仿宋"/>
          <w:color w:val="auto"/>
          <w:sz w:val="32"/>
          <w:szCs w:val="22"/>
          <w:highlight w:val="none"/>
          <w:lang w:val="en-US"/>
        </w:rPr>
        <w:outlineLvl w:val="9"/>
      </w:pPr>
      <w:r>
        <w:rPr>
          <w:rStyle w:val="1250"/>
          <w:rFonts w:hint="eastAsia" w:ascii="仿宋" w:hAnsi="仿宋" w:eastAsia="仿宋" w:cs="仿宋"/>
          <w:color w:val="auto"/>
          <w:sz w:val="32"/>
          <w:szCs w:val="22"/>
          <w:highlight w:val="none"/>
          <w:lang w:val="en-US"/>
        </w:rPr>
        <w:t xml:space="preserve">代理机构：江苏策聆建设管理有限公司</w:t>
      </w:r>
      <w:r/>
    </w:p>
    <w:p>
      <w:pPr>
        <w:pStyle w:val="1054"/>
        <w:numPr>
          <w:ilvl w:val="0"/>
          <w:numId w:val="0"/>
        </w:numPr>
        <w:rPr>
          <w:highlight w:val="none"/>
        </w:rPr>
      </w:pPr>
      <w:r>
        <w:rPr>
          <w:highlight w:val="none"/>
        </w:rPr>
      </w:r>
      <w:r/>
    </w:p>
    <w:p>
      <w:pPr>
        <w:pStyle w:val="1000"/>
        <w:jc w:val="center"/>
        <w:widowControl w:val="off"/>
        <w:rPr>
          <w:rStyle w:val="1250"/>
          <w:rFonts w:ascii="宋体" w:hAnsi="宋体"/>
          <w:color w:val="auto"/>
          <w:sz w:val="32"/>
          <w:highlight w:val="none"/>
        </w:rPr>
      </w:pPr>
      <w:r>
        <w:rPr>
          <w:rFonts w:ascii="宋体" w:hAnsi="宋体"/>
          <w:color w:val="auto"/>
          <w:sz w:val="32"/>
          <w:highlight w:val="none"/>
        </w:rPr>
      </w:r>
      <w:r/>
    </w:p>
    <w:p>
      <w:pPr>
        <w:pStyle w:val="1000"/>
        <w:jc w:val="center"/>
        <w:widowControl w:val="off"/>
        <w:rPr>
          <w:rStyle w:val="1250"/>
          <w:rFonts w:hint="eastAsia" w:ascii="仿宋" w:hAnsi="仿宋" w:eastAsia="仿宋" w:cs="仿宋"/>
          <w:color w:val="auto"/>
          <w:sz w:val="32"/>
          <w:highlight w:val="none"/>
        </w:rPr>
      </w:pPr>
      <w:r>
        <w:rPr>
          <w:rStyle w:val="1250"/>
          <w:rFonts w:ascii="宋体" w:hAnsi="宋体"/>
          <w:color w:val="auto"/>
          <w:sz w:val="32"/>
          <w:highlight w:val="none"/>
        </w:rPr>
        <w:t xml:space="preserve">二〇二</w:t>
      </w:r>
      <w:r>
        <w:rPr>
          <w:rStyle w:val="1250"/>
          <w:rFonts w:hint="eastAsia" w:ascii="宋体" w:hAnsi="宋体"/>
          <w:color w:val="auto"/>
          <w:sz w:val="32"/>
          <w:highlight w:val="none"/>
          <w:lang w:val="en-US"/>
        </w:rPr>
        <w:t xml:space="preserve">五</w:t>
      </w:r>
      <w:r>
        <w:rPr>
          <w:rStyle w:val="1250"/>
          <w:rFonts w:ascii="宋体" w:hAnsi="宋体"/>
          <w:color w:val="auto"/>
          <w:sz w:val="32"/>
          <w:highlight w:val="none"/>
        </w:rPr>
        <w:t xml:space="preserve">年</w:t>
      </w:r>
      <w:r>
        <w:rPr>
          <w:rStyle w:val="1250"/>
          <w:rFonts w:hint="eastAsia" w:ascii="宋体" w:hAnsi="宋体"/>
          <w:color w:val="auto"/>
          <w:sz w:val="32"/>
          <w:highlight w:val="none"/>
          <w:lang w:val="en-US"/>
        </w:rPr>
        <w:t xml:space="preserve">十一</w:t>
      </w:r>
      <w:r>
        <w:rPr>
          <w:rStyle w:val="1250"/>
          <w:rFonts w:ascii="宋体" w:hAnsi="宋体"/>
          <w:color w:val="auto"/>
          <w:sz w:val="32"/>
          <w:highlight w:val="none"/>
        </w:rPr>
        <w:t xml:space="preserve">月</w:t>
      </w:r>
      <w:r/>
    </w:p>
    <w:p>
      <w:pPr>
        <w:pStyle w:val="1263"/>
        <w:jc w:val="both"/>
        <w:keepLines w:val="0"/>
        <w:keepNext w:val="0"/>
        <w:widowControl w:val="off"/>
        <w:rPr>
          <w:rFonts w:ascii="宋体" w:hAnsi="宋体" w:eastAsia="宋体"/>
          <w:b/>
          <w:bCs/>
          <w:color w:val="auto"/>
          <w:highlight w:val="none"/>
          <w:lang w:val="zh-CN"/>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eastAsia="宋体"/>
          <w:b/>
          <w:bCs/>
          <w:color w:val="auto"/>
          <w:highlight w:val="none"/>
          <w:lang w:val="zh-CN"/>
        </w:rPr>
      </w:r>
      <w:r/>
    </w:p>
    <w:p>
      <w:pPr>
        <w:pStyle w:val="1000"/>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44"/>
          <w:szCs w:val="44"/>
          <w:highlight w:val="none"/>
        </w:rPr>
        <w:t xml:space="preserve">竞争性磋商文件</w:t>
      </w:r>
      <w:r/>
    </w:p>
    <w:p>
      <w:pPr>
        <w:pStyle w:val="1000"/>
        <w:jc w:val="center"/>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项目编号：</w:t>
      </w:r>
      <w:r>
        <w:rPr>
          <w:rFonts w:hint="eastAsia" w:ascii="宋体" w:hAnsi="宋体" w:cs="宋体"/>
          <w:b/>
          <w:bCs/>
          <w:color w:val="auto"/>
          <w:sz w:val="24"/>
          <w:szCs w:val="24"/>
          <w:highlight w:val="none"/>
          <w:lang w:eastAsia="zh-CN"/>
        </w:rPr>
        <w:t xml:space="preserve">JSZC-320300-JSCL-C2025-0006</w:t>
      </w:r>
      <w:r>
        <w:rPr>
          <w:rFonts w:hint="eastAsia" w:ascii="宋体" w:hAnsi="宋体" w:cs="宋体"/>
          <w:b/>
          <w:bCs/>
          <w:color w:val="auto"/>
          <w:sz w:val="24"/>
          <w:szCs w:val="24"/>
          <w:highlight w:val="none"/>
          <w:lang w:val="en-US" w:eastAsia="zh-CN"/>
        </w:rPr>
        <w:t xml:space="preserve"> </w:t>
      </w:r>
      <w:r/>
    </w:p>
    <w:p>
      <w:pPr>
        <w:pStyle w:val="1000"/>
        <w:keepLines w:val="0"/>
        <w:keepNext w:val="0"/>
        <w:pageBreakBefore w:val="0"/>
        <w:spacing w:line="440" w:lineRule="exact"/>
        <w:widowControl w:val="off"/>
        <w:tabs>
          <w:tab w:val="left" w:pos="324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w:t>
      </w:r>
      <w:r/>
    </w:p>
    <w:p>
      <w:pPr>
        <w:pStyle w:val="1000"/>
        <w:ind w:firstLine="480"/>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u w:val="single"/>
          <w:lang w:eastAsia="zh-CN"/>
        </w:rPr>
        <w:t xml:space="preserve">江苏策聆建设管理有限公司</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淮塔园林供水管网改造工程</w:t>
      </w:r>
      <w:r>
        <w:rPr>
          <w:rFonts w:hint="eastAsia" w:ascii="宋体" w:hAnsi="宋体" w:eastAsia="宋体" w:cs="宋体"/>
          <w:color w:val="auto"/>
          <w:sz w:val="24"/>
          <w:szCs w:val="24"/>
          <w:highlight w:val="none"/>
        </w:rPr>
        <w:t xml:space="preserve">项目采取竞争性磋商采购方式进行采购，竞争性磋商文件（以下简称《磋商文件》）内容如下：</w:t>
      </w:r>
      <w:r/>
    </w:p>
    <w:p>
      <w:pPr>
        <w:pStyle w:val="1000"/>
        <w:ind w:left="497"/>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第一章 项目说明</w:t>
      </w:r>
      <w:r/>
    </w:p>
    <w:p>
      <w:pPr>
        <w:pStyle w:val="1000"/>
        <w:ind w:firstLine="480"/>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一、采购人：</w:t>
      </w:r>
      <w:r>
        <w:rPr>
          <w:rFonts w:hint="eastAsia" w:ascii="宋体" w:hAnsi="宋体" w:cs="宋体"/>
          <w:color w:val="auto"/>
          <w:sz w:val="24"/>
          <w:szCs w:val="24"/>
          <w:highlight w:val="none"/>
          <w:lang w:eastAsia="zh-CN"/>
        </w:rPr>
        <w:t xml:space="preserve">淮海战役烈士纪念塔管理中心</w:t>
      </w:r>
      <w:r/>
    </w:p>
    <w:p>
      <w:pPr>
        <w:pStyle w:val="1000"/>
        <w:ind w:firstLine="480"/>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淮塔园林供水管网改造工程</w:t>
      </w:r>
      <w:r/>
    </w:p>
    <w:p>
      <w:pPr>
        <w:pStyle w:val="1000"/>
        <w:ind w:firstLine="480"/>
        <w:jc w:val="left"/>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JSZC-320300-JSCL-C2025-0006</w:t>
      </w:r>
      <w:r>
        <w:rPr>
          <w:rFonts w:hint="eastAsia" w:ascii="宋体" w:hAnsi="宋体" w:cs="宋体"/>
          <w:color w:val="auto"/>
          <w:sz w:val="24"/>
          <w:szCs w:val="24"/>
          <w:highlight w:val="none"/>
          <w:lang w:val="en-US" w:eastAsia="zh-CN"/>
        </w:rPr>
        <w:t xml:space="preserve"> </w:t>
      </w:r>
      <w:r/>
    </w:p>
    <w:p>
      <w:pPr>
        <w:pStyle w:val="1000"/>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四、采购邀请：通过发布公告的方式邀请符合相应资格条件的供应商参与竞争性磋商采购活动。</w:t>
      </w:r>
      <w:r/>
    </w:p>
    <w:p>
      <w:pPr>
        <w:pStyle w:val="1000"/>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五、采购方式：本项目采用竞争性磋商采购方式。</w:t>
      </w:r>
      <w:r/>
    </w:p>
    <w:p>
      <w:pPr>
        <w:pStyle w:val="1235"/>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六、供应商资格条件：</w:t>
      </w:r>
      <w:r/>
    </w:p>
    <w:p>
      <w:pPr>
        <w:pStyle w:val="1235"/>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1.满足《中华人民共和国政府采购法》第二十二条规定；</w:t>
      </w:r>
      <w:r/>
    </w:p>
    <w:p>
      <w:pPr>
        <w:pStyle w:val="1235"/>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2.落实政府采购政策需满足的资格要求：</w:t>
      </w:r>
      <w:r>
        <w:rPr>
          <w:rFonts w:hint="eastAsia" w:ascii="宋体" w:hAnsi="宋体" w:eastAsia="宋体" w:cs="宋体"/>
          <w:b w:val="0"/>
          <w:bCs w:val="0"/>
          <w:color w:val="auto"/>
          <w:sz w:val="24"/>
          <w:szCs w:val="24"/>
          <w:highlight w:val="none"/>
        </w:rPr>
        <w:t xml:space="preserve">此项目属于专门面向中小微企业采购的项目，供应商应为中小微企业、监狱企业、残疾人福利性单位</w:t>
      </w:r>
      <w:r>
        <w:rPr>
          <w:rFonts w:hint="eastAsia" w:ascii="宋体" w:hAnsi="宋体" w:eastAsia="宋体" w:cs="宋体"/>
          <w:b w:val="0"/>
          <w:bCs w:val="0"/>
          <w:color w:val="auto"/>
          <w:sz w:val="24"/>
          <w:szCs w:val="24"/>
          <w:highlight w:val="none"/>
          <w:lang w:eastAsia="zh-CN"/>
        </w:rPr>
        <w:t xml:space="preserve">。</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rPr>
        <w:t xml:space="preserve">3.本项目的特定资格要求：</w:t>
      </w:r>
      <w:r/>
    </w:p>
    <w:p>
      <w:pPr>
        <w:pStyle w:val="993"/>
        <w:ind w:left="0" w:firstLine="482"/>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①供应商的</w:t>
      </w:r>
      <w:r>
        <w:rPr>
          <w:rFonts w:hint="eastAsia" w:ascii="宋体" w:hAnsi="宋体" w:eastAsia="宋体" w:cs="宋体"/>
          <w:b/>
          <w:bCs/>
          <w:color w:val="auto"/>
          <w:sz w:val="24"/>
          <w:szCs w:val="24"/>
          <w:highlight w:val="none"/>
          <w:lang w:eastAsia="zh-CN"/>
        </w:rPr>
        <w:t xml:space="preserve">市政公用工程施工总承包叁级（含）以上资质或水利水电</w:t>
      </w:r>
      <w:r>
        <w:rPr>
          <w:rFonts w:hint="eastAsia" w:ascii="宋体" w:hAnsi="宋体" w:eastAsia="宋体" w:cs="宋体"/>
          <w:b/>
          <w:bCs/>
          <w:color w:val="auto"/>
          <w:sz w:val="24"/>
          <w:szCs w:val="24"/>
          <w:highlight w:val="none"/>
        </w:rPr>
        <w:t xml:space="preserve">工程施工总承包叁级（含）以上资质证书；</w:t>
      </w:r>
      <w:r/>
    </w:p>
    <w:p>
      <w:pPr>
        <w:pStyle w:val="993"/>
        <w:ind w:left="0" w:firstLine="482"/>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②供应商的有效的《安全生产许可证》证书；</w:t>
      </w:r>
      <w:r/>
    </w:p>
    <w:p>
      <w:pPr>
        <w:pStyle w:val="993"/>
        <w:ind w:left="0" w:firstLine="482"/>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③拟派项目负责人须具备</w:t>
      </w:r>
      <w:r>
        <w:rPr>
          <w:rFonts w:hint="eastAsia" w:ascii="宋体" w:hAnsi="宋体" w:eastAsia="宋体" w:cs="宋体"/>
          <w:b/>
          <w:bCs/>
          <w:color w:val="auto"/>
          <w:sz w:val="24"/>
          <w:szCs w:val="24"/>
          <w:highlight w:val="none"/>
          <w:lang w:eastAsia="zh-CN"/>
        </w:rPr>
        <w:t xml:space="preserve">市政公用工程贰级（含）以上注册建造师资格或水利水电</w:t>
      </w:r>
      <w:r>
        <w:rPr>
          <w:rFonts w:hint="eastAsia" w:ascii="宋体" w:hAnsi="宋体" w:eastAsia="宋体" w:cs="宋体"/>
          <w:b/>
          <w:bCs/>
          <w:color w:val="auto"/>
          <w:sz w:val="24"/>
          <w:szCs w:val="24"/>
          <w:highlight w:val="none"/>
        </w:rPr>
        <w:t xml:space="preserve">工程贰级（含）以上注册建造师资质及安全考核合格证书（B证），无在建工程（提供无在建承诺书）；</w:t>
      </w:r>
      <w:r/>
    </w:p>
    <w:p>
      <w:pPr>
        <w:pStyle w:val="1036"/>
        <w:numPr>
          <w:ilvl w:val="0"/>
          <w:numId w:val="0"/>
        </w:numPr>
        <w:ind w:right="0"/>
        <w:keepLines w:val="0"/>
        <w:keepNext w:val="0"/>
        <w:pageBreakBefore w:val="0"/>
        <w:spacing w:before="0" w:beforeAutospacing="0" w:after="0" w:afterAutospacing="0" w:line="360" w:lineRule="auto"/>
        <w:widowControl/>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highlight w:val="none"/>
          <w:lang w:val="en-US" w:eastAsia="zh-CN"/>
        </w:rPr>
        <w:t xml:space="preserve">说明：</w:t>
      </w:r>
      <w:r/>
    </w:p>
    <w:p>
      <w:pPr>
        <w:pStyle w:val="1036"/>
        <w:numPr>
          <w:ilvl w:val="0"/>
          <w:numId w:val="0"/>
        </w:numPr>
        <w:ind w:right="0"/>
        <w:keepLines w:val="0"/>
        <w:keepNext w:val="0"/>
        <w:pageBreakBefore w:val="0"/>
        <w:spacing w:before="0" w:beforeAutospacing="0" w:after="0" w:afterAutospacing="0" w:line="480" w:lineRule="exact"/>
        <w:widowControl/>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highlight w:val="none"/>
          <w:lang w:val="en-US" w:eastAsia="zh-CN"/>
        </w:rPr>
        <w:t xml:space="preserve">1.本项目不接受联合体投标；</w:t>
      </w:r>
      <w:r/>
    </w:p>
    <w:p>
      <w:pPr>
        <w:pStyle w:val="1036"/>
        <w:numPr>
          <w:ilvl w:val="0"/>
          <w:numId w:val="0"/>
        </w:numPr>
        <w:ind w:right="0"/>
        <w:keepLines w:val="0"/>
        <w:keepNext w:val="0"/>
        <w:pageBreakBefore w:val="0"/>
        <w:spacing w:before="0" w:beforeAutospacing="0" w:after="0" w:afterAutospacing="0" w:line="480" w:lineRule="exact"/>
        <w:widowControl/>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highlight w:val="none"/>
          <w:lang w:val="en-US" w:eastAsia="zh-CN"/>
        </w:rPr>
        <w:t xml:space="preserve">2.单位负责人为同一人或者存在直接控股、管理关系的不同供应商，不得参加同一合同项下的政府采购活动；</w:t>
      </w:r>
      <w:r/>
    </w:p>
    <w:p>
      <w:pPr>
        <w:pStyle w:val="1036"/>
        <w:numPr>
          <w:ilvl w:val="0"/>
          <w:numId w:val="0"/>
        </w:numPr>
        <w:ind w:right="0"/>
        <w:keepLines w:val="0"/>
        <w:keepNext w:val="0"/>
        <w:pageBreakBefore w:val="0"/>
        <w:spacing w:before="0" w:beforeAutospacing="0" w:after="0" w:afterAutospacing="0" w:line="480" w:lineRule="exact"/>
        <w:widowControl/>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highlight w:val="none"/>
          <w:lang w:val="en-US" w:eastAsia="zh-CN"/>
        </w:rPr>
        <w:t xml:space="preserve">3.为本采购项目提供整体设计、规范编制或者项目管理、监理等服务的供应商，不得再参加本采购项目的采购活动。</w:t>
      </w:r>
      <w:r/>
    </w:p>
    <w:p>
      <w:pPr>
        <w:pStyle w:val="1036"/>
        <w:numPr>
          <w:ilvl w:val="0"/>
          <w:numId w:val="0"/>
        </w:numPr>
        <w:ind w:right="0"/>
        <w:keepLines w:val="0"/>
        <w:keepNext w:val="0"/>
        <w:pageBreakBefore w:val="0"/>
        <w:spacing w:before="0" w:beforeAutospacing="0" w:after="0" w:afterAutospacing="0" w:line="480" w:lineRule="exact"/>
        <w:widowControl/>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highlight w:val="none"/>
          <w:lang w:val="en-US" w:eastAsia="zh-CN"/>
        </w:rPr>
        <w:t xml:space="preserve">4.查询及使用供应商信用记录：</w:t>
      </w:r>
      <w:r/>
    </w:p>
    <w:p>
      <w:pPr>
        <w:pStyle w:val="1036"/>
        <w:numPr>
          <w:ilvl w:val="0"/>
          <w:numId w:val="0"/>
        </w:numPr>
        <w:ind w:right="0"/>
        <w:keepLines w:val="0"/>
        <w:keepNext w:val="0"/>
        <w:pageBreakBefore w:val="0"/>
        <w:spacing w:before="0" w:beforeAutospacing="0" w:after="0" w:afterAutospacing="0" w:line="480" w:lineRule="exact"/>
        <w:widowControl/>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highlight w:val="none"/>
          <w:lang w:val="en-US" w:eastAsia="zh-CN"/>
        </w:rPr>
        <w:t xml:space="preserve">（1）由采购人查询信用信息。</w:t>
      </w:r>
      <w:r/>
    </w:p>
    <w:p>
      <w:pPr>
        <w:pStyle w:val="1036"/>
        <w:numPr>
          <w:ilvl w:val="0"/>
          <w:numId w:val="0"/>
        </w:numPr>
        <w:ind w:right="0"/>
        <w:keepLines w:val="0"/>
        <w:keepNext w:val="0"/>
        <w:pageBreakBefore w:val="0"/>
        <w:spacing w:before="0" w:beforeAutospacing="0" w:after="0" w:afterAutospacing="0" w:line="480" w:lineRule="exact"/>
        <w:widowControl/>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highlight w:val="none"/>
          <w:lang w:val="en-US" w:eastAsia="zh-CN"/>
        </w:rPr>
        <w:t xml:space="preserve">（2）查询渠道包括：</w:t>
      </w:r>
      <w:r/>
    </w:p>
    <w:p>
      <w:pPr>
        <w:pStyle w:val="1036"/>
        <w:numPr>
          <w:ilvl w:val="0"/>
          <w:numId w:val="0"/>
        </w:numPr>
        <w:ind w:right="0"/>
        <w:keepLines w:val="0"/>
        <w:keepNext w:val="0"/>
        <w:pageBreakBefore w:val="0"/>
        <w:spacing w:before="0" w:beforeAutospacing="0" w:after="0" w:afterAutospacing="0" w:line="480" w:lineRule="exact"/>
        <w:widowControl/>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highlight w:val="none"/>
          <w:lang w:val="en-US" w:eastAsia="zh-CN"/>
        </w:rPr>
        <w:t xml:space="preserve">①“信用中国”网（https://www.creditchina.gov.cn/）；</w:t>
      </w:r>
      <w:r/>
    </w:p>
    <w:p>
      <w:pPr>
        <w:pStyle w:val="1036"/>
        <w:numPr>
          <w:ilvl w:val="0"/>
          <w:numId w:val="0"/>
        </w:numPr>
        <w:ind w:right="0"/>
        <w:keepLines w:val="0"/>
        <w:keepNext w:val="0"/>
        <w:pageBreakBefore w:val="0"/>
        <w:spacing w:before="0" w:beforeAutospacing="0" w:after="0" w:afterAutospacing="0" w:line="480" w:lineRule="exact"/>
        <w:widowControl/>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highlight w:val="none"/>
          <w:lang w:val="en-US" w:eastAsia="zh-CN"/>
        </w:rPr>
        <w:t xml:space="preserve">②中国政府采购网（http://www.ccgp.gov.cn/）；</w:t>
      </w:r>
      <w:r/>
    </w:p>
    <w:p>
      <w:pPr>
        <w:pStyle w:val="1036"/>
        <w:numPr>
          <w:ilvl w:val="0"/>
          <w:numId w:val="0"/>
        </w:numPr>
        <w:ind w:right="0"/>
        <w:keepLines w:val="0"/>
        <w:keepNext w:val="0"/>
        <w:pageBreakBefore w:val="0"/>
        <w:spacing w:before="0" w:beforeAutospacing="0" w:after="0" w:afterAutospacing="0" w:line="480" w:lineRule="exact"/>
        <w:widowControl/>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highlight w:val="none"/>
          <w:lang w:val="en-US" w:eastAsia="zh-CN"/>
        </w:rPr>
        <w:t xml:space="preserve">③“信用江苏”网（http://credit.jiangsu.gov.cn/）；</w:t>
      </w:r>
      <w:r/>
    </w:p>
    <w:p>
      <w:pPr>
        <w:pStyle w:val="1036"/>
        <w:numPr>
          <w:ilvl w:val="0"/>
          <w:numId w:val="0"/>
        </w:numPr>
        <w:ind w:right="0"/>
        <w:keepLines w:val="0"/>
        <w:keepNext w:val="0"/>
        <w:pageBreakBefore w:val="0"/>
        <w:spacing w:before="0" w:beforeAutospacing="0" w:after="0" w:afterAutospacing="0" w:line="480" w:lineRule="exact"/>
        <w:widowControl/>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highlight w:val="none"/>
          <w:lang w:val="en-US" w:eastAsia="zh-CN"/>
        </w:rPr>
        <w:t xml:space="preserve">④“信用徐州”网（https://www.xuzhoucredit.gov.cn/）。</w:t>
      </w:r>
      <w:r/>
    </w:p>
    <w:p>
      <w:pPr>
        <w:pStyle w:val="1036"/>
        <w:numPr>
          <w:ilvl w:val="0"/>
          <w:numId w:val="0"/>
        </w:numPr>
        <w:ind w:right="0"/>
        <w:keepLines w:val="0"/>
        <w:keepNext w:val="0"/>
        <w:pageBreakBefore w:val="0"/>
        <w:spacing w:before="0" w:beforeAutospacing="0" w:after="0" w:afterAutospacing="0" w:line="480" w:lineRule="exact"/>
        <w:widowControl/>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highlight w:val="none"/>
          <w:lang w:val="en-US" w:eastAsia="zh-CN"/>
        </w:rPr>
        <w:t xml:space="preserve">（3）截止时点（查询环节）：评标结束前；</w:t>
      </w:r>
      <w:r/>
    </w:p>
    <w:p>
      <w:pPr>
        <w:pStyle w:val="1036"/>
        <w:numPr>
          <w:ilvl w:val="0"/>
          <w:numId w:val="0"/>
        </w:numPr>
        <w:ind w:right="0"/>
        <w:keepLines w:val="0"/>
        <w:keepNext w:val="0"/>
        <w:pageBreakBefore w:val="0"/>
        <w:spacing w:before="0" w:beforeAutospacing="0" w:after="0" w:afterAutospacing="0" w:line="480" w:lineRule="exact"/>
        <w:widowControl/>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highlight w:val="none"/>
          <w:lang w:val="en-US" w:eastAsia="zh-CN"/>
        </w:rPr>
        <w:t xml:space="preserve">（4）响应单位有失信行为的，信用信息查询记录和证据需留存，并与其他采购文件一并保存；</w:t>
      </w:r>
      <w:r/>
    </w:p>
    <w:p>
      <w:pPr>
        <w:pStyle w:val="1036"/>
        <w:numPr>
          <w:ilvl w:val="0"/>
          <w:numId w:val="0"/>
        </w:numPr>
        <w:ind w:right="0"/>
        <w:keepLines w:val="0"/>
        <w:keepNext w:val="0"/>
        <w:pageBreakBefore w:val="0"/>
        <w:spacing w:before="0" w:beforeAutospacing="0" w:after="0" w:afterAutospacing="0" w:line="480" w:lineRule="exact"/>
        <w:widowControl/>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highlight w:val="none"/>
          <w:lang w:val="en-US" w:eastAsia="zh-CN"/>
        </w:rPr>
        <w:t xml:space="preserve">（5）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36"/>
        <w:numPr>
          <w:ilvl w:val="0"/>
          <w:numId w:val="0"/>
        </w:numPr>
        <w:ind w:right="0"/>
        <w:keepLines w:val="0"/>
        <w:keepNext w:val="0"/>
        <w:pageBreakBefore w:val="0"/>
        <w:spacing w:before="0" w:beforeAutospacing="0" w:after="0" w:afterAutospacing="0" w:line="480" w:lineRule="exact"/>
        <w:widowControl/>
        <w:rPr>
          <w:rFonts w:hint="default" w:ascii="宋体" w:hAnsi="宋体" w:eastAsia="宋体" w:cs="宋体"/>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highlight w:val="none"/>
          <w:lang w:val="en-US" w:eastAsia="zh-CN"/>
        </w:rPr>
        <w:t xml:space="preserve">（6）信用评价结果查询：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1027"/>
        <w:ind w:firstLine="480"/>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r>
      <w:r/>
    </w:p>
    <w:p>
      <w:pPr>
        <w:pStyle w:val="1027"/>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r>
      <w:r/>
    </w:p>
    <w:p>
      <w:pPr>
        <w:pStyle w:val="1235"/>
        <w:ind w:firstLine="480"/>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七、采购预算（采购项目预算金额）：见《磋商文件》附件2、《项目要求（采购需求）》。</w:t>
      </w:r>
      <w:r/>
    </w:p>
    <w:p>
      <w:pPr>
        <w:pStyle w:val="1000"/>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八、采购需求：见《磋商文件》附件2、《项目要求（采购需求）》</w:t>
      </w:r>
      <w:r/>
    </w:p>
    <w:p>
      <w:pPr>
        <w:pStyle w:val="1000"/>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九、合同条款：见《磋商文件》</w:t>
      </w:r>
      <w:r>
        <w:rPr>
          <w:rFonts w:hint="eastAsia" w:ascii="宋体" w:hAnsi="宋体" w:eastAsia="宋体" w:cs="宋体"/>
          <w:color w:val="auto"/>
          <w:sz w:val="24"/>
          <w:szCs w:val="24"/>
          <w:highlight w:val="none"/>
          <w:lang w:val="en-US" w:eastAsia="zh-CN" w:bidi="ar-SA"/>
        </w:rPr>
        <w:t xml:space="preserve">附件1</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、《合同条款》。</w:t>
      </w:r>
      <w:r/>
    </w:p>
    <w:p>
      <w:pPr>
        <w:pStyle w:val="1000"/>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十、报价要求</w:t>
      </w:r>
      <w:r/>
    </w:p>
    <w:p>
      <w:pPr>
        <w:pStyle w:val="1000"/>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u w:val="single"/>
          <w:lang w:val="en-US" w:eastAsia="zh-CN"/>
        </w:rPr>
        <w:t xml:space="preserve">江苏策聆建设管理有限公司</w:t>
      </w:r>
      <w:r>
        <w:rPr>
          <w:rFonts w:hint="eastAsia" w:ascii="宋体" w:hAnsi="宋体" w:eastAsia="宋体" w:cs="宋体"/>
          <w:color w:val="auto"/>
          <w:sz w:val="24"/>
          <w:szCs w:val="24"/>
          <w:highlight w:val="none"/>
        </w:rPr>
        <w:t xml:space="preserve">无承诺表示时视为未成</w:t>
      </w:r>
      <w:bookmarkStart w:id="344" w:name="_GoBack"/>
      <w:r/>
      <w:bookmarkEnd w:id="344"/>
      <w:r>
        <w:rPr>
          <w:rFonts w:hint="eastAsia" w:ascii="宋体" w:hAnsi="宋体" w:eastAsia="宋体" w:cs="宋体"/>
          <w:color w:val="auto"/>
          <w:sz w:val="24"/>
          <w:szCs w:val="24"/>
          <w:highlight w:val="none"/>
        </w:rPr>
        <w:t xml:space="preserve">交，</w:t>
      </w:r>
      <w:r>
        <w:rPr>
          <w:rFonts w:hint="eastAsia" w:ascii="宋体" w:hAnsi="宋体" w:cs="宋体"/>
          <w:color w:val="auto"/>
          <w:sz w:val="24"/>
          <w:szCs w:val="24"/>
          <w:highlight w:val="none"/>
          <w:u w:val="single"/>
          <w:lang w:val="en-US" w:eastAsia="zh-CN"/>
        </w:rPr>
        <w:t xml:space="preserve">江苏策聆建设管理有限公司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pStyle w:val="1000"/>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pStyle w:val="1000"/>
        <w:ind w:right="-57"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000"/>
        <w:ind w:left="497"/>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磋商保证金</w:t>
      </w:r>
      <w:r/>
    </w:p>
    <w:p>
      <w:pPr>
        <w:pStyle w:val="1000"/>
        <w:ind w:firstLine="482"/>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十一、供应商提交磋商保证金</w:t>
      </w:r>
      <w:r/>
    </w:p>
    <w:p>
      <w:pPr>
        <w:pStyle w:val="1000"/>
        <w:ind w:firstLine="480"/>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磋商保证金交纳数额和形式：不需交纳。</w:t>
      </w:r>
      <w:r/>
    </w:p>
    <w:p>
      <w:pPr>
        <w:pStyle w:val="1000"/>
        <w:ind w:left="497"/>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章 响应文件</w:t>
      </w:r>
      <w:r/>
    </w:p>
    <w:p>
      <w:pPr>
        <w:pStyle w:val="1000"/>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提交响应文件要求</w:t>
      </w:r>
      <w:r/>
    </w:p>
    <w:p>
      <w:pPr>
        <w:pStyle w:val="1000"/>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（一）本项目通过“苏采云”系统进行电子采购，即供应商响应文件从政府采购客户端工具制作并通过“苏采云”系统提交。</w:t>
      </w:r>
      <w:r/>
    </w:p>
    <w:p>
      <w:pPr>
        <w:pStyle w:val="1000"/>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keepLines w:val="0"/>
        <w:keepNext w:val="0"/>
        <w:pageBreakBefore w:val="0"/>
        <w:spacing w:line="440" w:lineRule="exact"/>
        <w:rPr>
          <w:rFonts w:hint="eastAsia" w:ascii="宋体" w:hAnsi="宋体" w:cs="宋体"/>
          <w:color w:val="auto"/>
          <w:sz w:val="24"/>
          <w:highlight w:val="none"/>
        </w:rPr>
      </w:pPr>
      <w:r>
        <w:rPr>
          <w:rFonts w:hint="eastAsia" w:ascii="宋体" w:hAnsi="宋体" w:eastAsia="宋体" w:cs="宋体"/>
          <w:bCs/>
          <w:color w:val="auto"/>
          <w:sz w:val="24"/>
          <w:szCs w:val="24"/>
          <w:highlight w:val="none"/>
        </w:rPr>
        <w:t xml:space="preserve">“CA数字证书”的获取：</w:t>
      </w:r>
      <w:r>
        <w:rPr>
          <w:rFonts w:hint="eastAsia" w:ascii="宋体" w:hAnsi="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000"/>
        <w:ind w:firstLine="482"/>
        <w:keepLines w:val="0"/>
        <w:keepNext w:val="0"/>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“苏采云”系统使用要求：</w:t>
      </w:r>
      <w:r/>
    </w:p>
    <w:p>
      <w:pPr>
        <w:pStyle w:val="1000"/>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使用谷歌浏览器参与不见面开标及磋商环节。</w:t>
      </w:r>
      <w:r/>
    </w:p>
    <w:p>
      <w:pPr>
        <w:pStyle w:val="1000"/>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电脑需提前准备好麦克风、音响，摄像头，提前检查保证能够正常使用。</w:t>
      </w:r>
      <w:r/>
    </w:p>
    <w:p>
      <w:pPr>
        <w:pStyle w:val="1000"/>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操作系统至少win7以上，建议使用win10操作系统。</w:t>
      </w:r>
      <w:r/>
    </w:p>
    <w:p>
      <w:pPr>
        <w:pStyle w:val="99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（二）首次响应文件提交的截止时间</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u w:val="single"/>
          <w:lang w:eastAsia="zh-CN"/>
        </w:rPr>
        <w:t xml:space="preserve">202</w:t>
      </w:r>
      <w:r>
        <w:rPr>
          <w:rFonts w:hint="eastAsia" w:ascii="宋体" w:hAnsi="宋体" w:cs="宋体"/>
          <w:b/>
          <w:bCs/>
          <w:color w:val="auto"/>
          <w:sz w:val="24"/>
          <w:highlight w:val="none"/>
          <w:u w:val="single"/>
          <w:lang w:val="en-US" w:eastAsia="zh-CN"/>
        </w:rPr>
        <w:t xml:space="preserve">5</w:t>
      </w:r>
      <w:r>
        <w:rPr>
          <w:rFonts w:hint="eastAsia" w:ascii="宋体" w:hAnsi="宋体" w:eastAsia="宋体" w:cs="宋体"/>
          <w:b/>
          <w:bCs/>
          <w:color w:val="auto"/>
          <w:sz w:val="24"/>
          <w:highlight w:val="none"/>
          <w:u w:val="single"/>
          <w:lang w:eastAsia="zh-CN"/>
        </w:rPr>
        <w:t xml:space="preserve">年</w:t>
      </w:r>
      <w:r>
        <w:rPr>
          <w:rFonts w:hint="eastAsia" w:ascii="宋体" w:hAnsi="宋体" w:cs="宋体"/>
          <w:b/>
          <w:bCs/>
          <w:color w:val="auto"/>
          <w:sz w:val="24"/>
          <w:highlight w:val="none"/>
          <w:u w:val="single"/>
          <w:lang w:val="en-US" w:eastAsia="zh-CN"/>
        </w:rPr>
        <w:t xml:space="preserve">12月02日</w:t>
      </w:r>
      <w:r>
        <w:rPr>
          <w:rFonts w:hint="eastAsia" w:ascii="宋体" w:hAnsi="宋体" w:cs="宋体"/>
          <w:b/>
          <w:bCs/>
          <w:color w:val="auto"/>
          <w:sz w:val="24"/>
          <w:highlight w:val="none"/>
          <w:u w:val="single"/>
          <w:lang w:val="en-US" w:eastAsia="zh-CN"/>
        </w:rPr>
        <w:t xml:space="preserve">09</w:t>
      </w:r>
      <w:r>
        <w:rPr>
          <w:rFonts w:hint="eastAsia" w:ascii="宋体" w:hAnsi="宋体" w:eastAsia="宋体" w:cs="宋体"/>
          <w:b/>
          <w:bCs/>
          <w:color w:val="auto"/>
          <w:sz w:val="24"/>
          <w:highlight w:val="none"/>
          <w:u w:val="single"/>
        </w:rPr>
        <w:t xml:space="preserve">:</w:t>
      </w:r>
      <w:r>
        <w:rPr>
          <w:rFonts w:hint="eastAsia" w:ascii="宋体" w:hAnsi="宋体" w:cs="宋体"/>
          <w:b/>
          <w:bCs/>
          <w:color w:val="auto"/>
          <w:sz w:val="24"/>
          <w:highlight w:val="none"/>
          <w:u w:val="single"/>
          <w:lang w:val="en-US" w:eastAsia="zh-CN"/>
        </w:rPr>
        <w:t xml:space="preserve">30</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在截止时间后提交的首次响应文件为无效文件，将被拒收。</w:t>
      </w:r>
      <w:r/>
    </w:p>
    <w:p>
      <w:pPr>
        <w:pStyle w:val="994"/>
        <w:ind w:firstLine="480"/>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（三）首次响应文件提交时间、地点：</w:t>
      </w:r>
      <w:r/>
    </w:p>
    <w:p>
      <w:pPr>
        <w:pStyle w:val="99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提交时间</w:t>
      </w:r>
      <w:r/>
    </w:p>
    <w:p>
      <w:pPr>
        <w:pStyle w:val="994"/>
        <w:ind w:firstLine="480"/>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首次响应文件提交的截止时间</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u w:val="single"/>
          <w:lang w:eastAsia="zh-CN"/>
        </w:rPr>
        <w:t xml:space="preserve">202</w:t>
      </w:r>
      <w:r>
        <w:rPr>
          <w:rFonts w:hint="eastAsia" w:ascii="宋体" w:hAnsi="宋体" w:cs="宋体"/>
          <w:b/>
          <w:bCs/>
          <w:color w:val="auto"/>
          <w:sz w:val="24"/>
          <w:highlight w:val="none"/>
          <w:u w:val="single"/>
          <w:lang w:val="en-US" w:eastAsia="zh-CN"/>
        </w:rPr>
        <w:t xml:space="preserve">5</w:t>
      </w:r>
      <w:r>
        <w:rPr>
          <w:rFonts w:hint="eastAsia" w:ascii="宋体" w:hAnsi="宋体" w:eastAsia="宋体" w:cs="宋体"/>
          <w:b/>
          <w:bCs/>
          <w:color w:val="auto"/>
          <w:sz w:val="24"/>
          <w:highlight w:val="none"/>
          <w:u w:val="single"/>
          <w:lang w:eastAsia="zh-CN"/>
        </w:rPr>
        <w:t xml:space="preserve">年</w:t>
      </w:r>
      <w:r>
        <w:rPr>
          <w:rFonts w:hint="eastAsia" w:ascii="宋体" w:hAnsi="宋体" w:cs="宋体"/>
          <w:b/>
          <w:bCs/>
          <w:color w:val="auto"/>
          <w:sz w:val="24"/>
          <w:highlight w:val="none"/>
          <w:u w:val="single"/>
          <w:lang w:val="en-US" w:eastAsia="zh-CN"/>
        </w:rPr>
      </w:r>
      <w:r>
        <w:rPr>
          <w:rFonts w:hint="eastAsia" w:ascii="宋体" w:hAnsi="宋体" w:cs="宋体"/>
          <w:b/>
          <w:bCs/>
          <w:color w:val="auto"/>
          <w:sz w:val="24"/>
          <w:highlight w:val="none"/>
          <w:u w:val="single"/>
          <w:lang w:val="en-US" w:eastAsia="zh-CN"/>
        </w:rPr>
        <w:t xml:space="preserve">12月02日</w:t>
      </w:r>
      <w:r/>
      <w:r>
        <w:rPr>
          <w:rFonts w:hint="eastAsia" w:ascii="宋体" w:hAnsi="宋体" w:cs="宋体"/>
          <w:b/>
          <w:bCs/>
          <w:color w:val="auto"/>
          <w:sz w:val="24"/>
          <w:highlight w:val="none"/>
          <w:u w:val="single"/>
          <w:lang w:val="en-US" w:eastAsia="zh-CN"/>
        </w:rPr>
        <w:t xml:space="preserve">09</w:t>
      </w:r>
      <w:r>
        <w:rPr>
          <w:rFonts w:hint="eastAsia" w:ascii="宋体" w:hAnsi="宋体" w:eastAsia="宋体" w:cs="宋体"/>
          <w:b/>
          <w:bCs/>
          <w:color w:val="auto"/>
          <w:sz w:val="24"/>
          <w:highlight w:val="none"/>
          <w:u w:val="single"/>
        </w:rPr>
        <w:t xml:space="preserve">:</w:t>
      </w:r>
      <w:r>
        <w:rPr>
          <w:rFonts w:hint="eastAsia" w:ascii="宋体" w:hAnsi="宋体" w:cs="宋体"/>
          <w:b/>
          <w:bCs/>
          <w:color w:val="auto"/>
          <w:sz w:val="24"/>
          <w:highlight w:val="none"/>
          <w:u w:val="single"/>
          <w:lang w:val="en-US" w:eastAsia="zh-CN"/>
        </w:rPr>
        <w:t xml:space="preserve">30</w:t>
      </w:r>
      <w:r>
        <w:rPr>
          <w:rFonts w:hint="eastAsia" w:ascii="宋体" w:hAnsi="宋体" w:eastAsia="宋体" w:cs="宋体"/>
          <w:b/>
          <w:bCs/>
          <w:color w:val="auto"/>
          <w:sz w:val="24"/>
          <w:highlight w:val="none"/>
        </w:rPr>
        <w:t xml:space="preserve">）前。</w:t>
      </w:r>
      <w:r/>
    </w:p>
    <w:p>
      <w:pPr>
        <w:pStyle w:val="99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提交地点：</w:t>
      </w:r>
      <w:r/>
    </w:p>
    <w:p>
      <w:pPr>
        <w:pStyle w:val="99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994"/>
        <w:ind w:firstLine="480"/>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）首次响应文件开启时</w:t>
      </w:r>
      <w:r>
        <w:rPr>
          <w:rFonts w:hint="eastAsia" w:ascii="宋体" w:hAnsi="宋体" w:eastAsia="宋体" w:cs="宋体"/>
          <w:b/>
          <w:bCs/>
          <w:color w:val="auto"/>
          <w:sz w:val="24"/>
          <w:highlight w:val="none"/>
        </w:rPr>
        <w:t xml:space="preserve">间：</w:t>
      </w:r>
      <w:r>
        <w:rPr>
          <w:rFonts w:hint="eastAsia" w:ascii="宋体" w:hAnsi="宋体" w:eastAsia="宋体" w:cs="宋体"/>
          <w:b/>
          <w:bCs/>
          <w:color w:val="auto"/>
          <w:sz w:val="24"/>
          <w:highlight w:val="none"/>
          <w:u w:val="single"/>
          <w:lang w:eastAsia="zh-CN"/>
        </w:rPr>
        <w:t xml:space="preserve">202</w:t>
      </w:r>
      <w:r>
        <w:rPr>
          <w:rFonts w:hint="eastAsia" w:ascii="宋体" w:hAnsi="宋体" w:cs="宋体"/>
          <w:b/>
          <w:bCs/>
          <w:color w:val="auto"/>
          <w:sz w:val="24"/>
          <w:highlight w:val="none"/>
          <w:u w:val="single"/>
          <w:lang w:val="en-US" w:eastAsia="zh-CN"/>
        </w:rPr>
        <w:t xml:space="preserve">5</w:t>
      </w:r>
      <w:r>
        <w:rPr>
          <w:rFonts w:hint="eastAsia" w:ascii="宋体" w:hAnsi="宋体" w:eastAsia="宋体" w:cs="宋体"/>
          <w:b/>
          <w:bCs/>
          <w:color w:val="auto"/>
          <w:sz w:val="24"/>
          <w:highlight w:val="none"/>
          <w:u w:val="single"/>
          <w:lang w:eastAsia="zh-CN"/>
        </w:rPr>
        <w:t xml:space="preserve">年</w:t>
      </w:r>
      <w:r>
        <w:rPr>
          <w:rFonts w:hint="eastAsia" w:ascii="宋体" w:hAnsi="宋体" w:cs="宋体"/>
          <w:b/>
          <w:bCs/>
          <w:color w:val="auto"/>
          <w:sz w:val="24"/>
          <w:highlight w:val="none"/>
          <w:u w:val="single"/>
          <w:lang w:val="en-US" w:eastAsia="zh-CN"/>
        </w:rPr>
      </w:r>
      <w:r>
        <w:rPr>
          <w:rFonts w:hint="eastAsia" w:ascii="宋体" w:hAnsi="宋体" w:cs="宋体"/>
          <w:b/>
          <w:bCs/>
          <w:color w:val="auto"/>
          <w:sz w:val="24"/>
          <w:highlight w:val="none"/>
          <w:u w:val="single"/>
          <w:lang w:val="en-US" w:eastAsia="zh-CN"/>
        </w:rPr>
        <w:t xml:space="preserve">12月02日</w:t>
      </w:r>
      <w:r/>
      <w:r>
        <w:rPr>
          <w:rFonts w:hint="eastAsia" w:ascii="宋体" w:hAnsi="宋体" w:cs="宋体"/>
          <w:b/>
          <w:bCs/>
          <w:color w:val="auto"/>
          <w:sz w:val="24"/>
          <w:highlight w:val="none"/>
          <w:u w:val="single"/>
          <w:lang w:val="en-US" w:eastAsia="zh-CN"/>
        </w:rPr>
        <w:t xml:space="preserve">09</w:t>
      </w:r>
      <w:r>
        <w:rPr>
          <w:rFonts w:hint="eastAsia" w:ascii="宋体" w:hAnsi="宋体" w:eastAsia="宋体" w:cs="宋体"/>
          <w:b/>
          <w:bCs/>
          <w:color w:val="auto"/>
          <w:sz w:val="24"/>
          <w:highlight w:val="none"/>
          <w:u w:val="single"/>
        </w:rPr>
        <w:t xml:space="preserve">:</w:t>
      </w:r>
      <w:r>
        <w:rPr>
          <w:rFonts w:hint="eastAsia" w:ascii="宋体" w:hAnsi="宋体" w:cs="宋体"/>
          <w:b/>
          <w:bCs/>
          <w:color w:val="auto"/>
          <w:sz w:val="24"/>
          <w:highlight w:val="none"/>
          <w:u w:val="single"/>
          <w:lang w:val="en-US" w:eastAsia="zh-CN"/>
        </w:rPr>
        <w:t xml:space="preserve">30</w:t>
      </w:r>
      <w:r>
        <w:rPr>
          <w:rFonts w:hint="eastAsia" w:ascii="宋体" w:hAnsi="宋体" w:eastAsia="宋体" w:cs="宋体"/>
          <w:b/>
          <w:bCs/>
          <w:color w:val="auto"/>
          <w:sz w:val="24"/>
          <w:highlight w:val="none"/>
        </w:rPr>
        <w:t xml:space="preserve">。</w:t>
      </w:r>
      <w:r/>
    </w:p>
    <w:p>
      <w:pPr>
        <w:pStyle w:val="994"/>
        <w:ind w:firstLine="480"/>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）首次响应文件开启地点：</w:t>
      </w:r>
      <w:r/>
    </w:p>
    <w:p>
      <w:pPr>
        <w:pStyle w:val="99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99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color w:val="auto"/>
          <w:sz w:val="24"/>
          <w:highlight w:val="none"/>
          <w:lang w:eastAsia="zh-CN"/>
        </w:rPr>
        <w:t xml:space="preserve">。</w:t>
      </w:r>
      <w:r/>
    </w:p>
    <w:p>
      <w:pPr>
        <w:pStyle w:val="994"/>
        <w:ind w:firstLine="480"/>
        <w:jc w:val="left"/>
        <w:keepLines w:val="0"/>
        <w:keepNext w:val="0"/>
        <w:pageBreakBefore w:val="0"/>
        <w:spacing w:line="440" w:lineRule="exact"/>
        <w:shd w:val="clear" w:color="auto" w:fill="ffffff"/>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七</w:t>
      </w:r>
      <w:r>
        <w:rPr>
          <w:rFonts w:hint="eastAsia" w:ascii="宋体" w:hAnsi="宋体" w:eastAsia="宋体" w:cs="宋体"/>
          <w:color w:val="auto"/>
          <w:sz w:val="24"/>
          <w:highlight w:val="none"/>
        </w:rPr>
        <w:t xml:space="preserve">）不接受不按要求加盖</w:t>
      </w:r>
      <w:r>
        <w:rPr>
          <w:rFonts w:hint="eastAsia" w:ascii="宋体" w:hAnsi="宋体" w:cs="宋体"/>
          <w:color w:val="auto"/>
          <w:sz w:val="24"/>
          <w:highlight w:val="none"/>
          <w:lang w:eastAsia="zh-CN"/>
        </w:rPr>
        <w:t xml:space="preserve">电子签章</w:t>
      </w:r>
      <w:r>
        <w:rPr>
          <w:rFonts w:hint="eastAsia" w:ascii="宋体" w:hAnsi="宋体" w:eastAsia="宋体" w:cs="宋体"/>
          <w:color w:val="auto"/>
          <w:sz w:val="24"/>
          <w:highlight w:val="none"/>
        </w:rPr>
        <w:t xml:space="preserve">（电子签章）的首次响应文件。电子签章相关要求见“苏采云”系统。</w:t>
      </w:r>
      <w:r/>
    </w:p>
    <w:p>
      <w:pPr>
        <w:pStyle w:val="99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八</w:t>
      </w:r>
      <w:r>
        <w:rPr>
          <w:rFonts w:hint="eastAsia" w:ascii="宋体" w:hAnsi="宋体" w:eastAsia="宋体" w:cs="宋体"/>
          <w:bCs/>
          <w:color w:val="auto"/>
          <w:sz w:val="24"/>
          <w:highlight w:val="none"/>
        </w:rPr>
        <w:t xml:space="preserve">）首次响应文件解密：到达开启时间，</w:t>
      </w:r>
      <w:r>
        <w:rPr>
          <w:rFonts w:hint="eastAsia" w:ascii="宋体" w:hAnsi="宋体" w:eastAsia="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highlight w:val="none"/>
        </w:rPr>
        <w:t xml:space="preserve">开启时间后30分钟内</w:t>
      </w:r>
      <w:r>
        <w:rPr>
          <w:rFonts w:hint="eastAsia" w:ascii="宋体" w:hAnsi="宋体" w:eastAsia="宋体" w:cs="宋体"/>
          <w:color w:val="auto"/>
          <w:sz w:val="24"/>
          <w:highlight w:val="none"/>
        </w:rPr>
        <w:t xml:space="preserve">，通过“苏采云”系统（使用“CA数字证书”）解密。</w:t>
      </w:r>
      <w:r/>
    </w:p>
    <w:p>
      <w:pPr>
        <w:pStyle w:val="99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）采购文件（后缀名为“.kedt”）、供应商操作手册及政府采购客户端工具可通过“苏采云”系统（网址：</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HYPERLINK "http://jszfcg.jsczt.cn/"</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http://jszfcg.jsczt.cn/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94"/>
        <w:ind w:left="0" w:firstLine="480"/>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十</w:t>
      </w:r>
      <w:r>
        <w:rPr>
          <w:rFonts w:hint="eastAsia" w:ascii="宋体" w:hAnsi="宋体" w:eastAsia="宋体" w:cs="宋体"/>
          <w:color w:val="auto"/>
          <w:sz w:val="24"/>
          <w:highlight w:val="none"/>
        </w:rPr>
        <w:t xml:space="preserve">）相关说明: 供应商在“苏采云”系统中提交首次响应文件的时间即为数据电文（响应文件，下同）的发送时间和接收时间。</w:t>
      </w:r>
      <w:r/>
    </w:p>
    <w:p>
      <w:pPr>
        <w:pStyle w:val="994"/>
        <w:keepLines w:val="0"/>
        <w:keepNext w:val="0"/>
        <w:pageBreakBefore w:val="0"/>
        <w:spacing w:line="44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十三、响应文件编制要求</w:t>
      </w:r>
      <w:r/>
    </w:p>
    <w:p>
      <w:pPr>
        <w:pStyle w:val="994"/>
        <w:ind w:firstLine="480"/>
        <w:keepLines w:val="0"/>
        <w:keepNext w:val="0"/>
        <w:pageBreakBefore w:val="0"/>
        <w:spacing w:line="44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请按照以下要求（包括但不限于以下要求）制作</w:t>
      </w:r>
      <w:r>
        <w:rPr>
          <w:rFonts w:hint="eastAsia" w:ascii="宋体" w:hAnsi="宋体" w:eastAsia="宋体" w:cs="宋体"/>
          <w:color w:val="auto"/>
          <w:sz w:val="24"/>
          <w:highlight w:val="none"/>
        </w:rPr>
        <w:t xml:space="preserve">：</w:t>
      </w:r>
      <w:r/>
    </w:p>
    <w:p>
      <w:pPr>
        <w:ind w:left="0" w:right="0" w:firstLine="425"/>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sz w:val="24"/>
          <w:highlight w:val="none"/>
        </w:rPr>
        <w:t xml:space="preserve">（一）基本目录</w:t>
      </w:r>
      <w:r/>
    </w:p>
    <w:p>
      <w:pPr>
        <w:ind w:left="0" w:right="0" w:firstLine="480"/>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rPr>
        <w:t xml:space="preserve">1、《磋商报价表》（加盖电子签章，格式见《磋商文件》附件。政府采购客户端工具输入报价自动生成）；</w:t>
      </w:r>
      <w:r/>
    </w:p>
    <w:p>
      <w:pPr>
        <w:ind w:left="0" w:right="0" w:firstLine="482"/>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rPr>
        <w:t xml:space="preserve">2、供应商认为需要提供的其他资料的扫描件（如有）。</w:t>
      </w:r>
      <w:r/>
    </w:p>
    <w:p>
      <w:pPr>
        <w:ind w:left="0" w:right="0" w:firstLine="241"/>
        <w:keepLines w:val="0"/>
        <w:keepNext w:val="0"/>
        <w:pageBreakBefore w:val="0"/>
        <w:spacing w:line="440" w:lineRule="exact"/>
        <w:widowControl/>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sz w:val="24"/>
          <w:highlight w:val="none"/>
        </w:rPr>
        <w:t xml:space="preserve">（二）资格条件</w:t>
      </w:r>
      <w:r/>
    </w:p>
    <w:p>
      <w:pPr>
        <w:ind w:firstLine="482"/>
        <w:jc w:val="left"/>
        <w:keepLines w:val="0"/>
        <w:keepNext w:val="0"/>
        <w:pageBreakBefore w:val="0"/>
        <w:spacing w:line="440" w:lineRule="exact"/>
        <w:widowControl/>
        <w:rPr>
          <w:rFonts w:ascii="宋体" w:hAnsi="宋体"/>
          <w:bCs/>
          <w:color w:val="auto"/>
          <w:sz w:val="24"/>
          <w:szCs w:val="20"/>
          <w:highlight w:val="none"/>
        </w:rPr>
        <w:outlineLvl w:val="9"/>
      </w:pPr>
      <w:r>
        <w:rPr>
          <w:rFonts w:hint="eastAsia" w:ascii="宋体" w:hAnsi="宋体"/>
          <w:b/>
          <w:bCs w:val="0"/>
          <w:color w:val="auto"/>
          <w:sz w:val="24"/>
          <w:szCs w:val="20"/>
          <w:highlight w:val="none"/>
          <w:lang w:val="en-US" w:eastAsia="zh-CN"/>
        </w:rPr>
        <w:t xml:space="preserve">1.满足《中华人民共和国政府采购法》第二十二条规定：</w:t>
      </w:r>
      <w:r/>
    </w:p>
    <w:p>
      <w:pPr>
        <w:ind w:firstLine="482"/>
        <w:jc w:val="left"/>
        <w:keepLines w:val="0"/>
        <w:keepNext w:val="0"/>
        <w:pageBreakBefore w:val="0"/>
        <w:spacing w:line="440" w:lineRule="exact"/>
        <w:widowControl/>
        <w:rPr>
          <w:rFonts w:ascii="宋体" w:hAnsi="宋体"/>
          <w:bCs/>
          <w:color w:val="auto"/>
          <w:sz w:val="24"/>
          <w:szCs w:val="20"/>
          <w:highlight w:val="none"/>
        </w:rPr>
        <w:outlineLvl w:val="9"/>
      </w:pPr>
      <w:r>
        <w:rPr>
          <w:rFonts w:hint="eastAsia" w:ascii="宋体" w:hAnsi="宋体"/>
          <w:bCs/>
          <w:color w:val="auto"/>
          <w:sz w:val="24"/>
          <w:szCs w:val="20"/>
          <w:highlight w:val="none"/>
          <w:lang w:eastAsia="zh-CN"/>
        </w:rPr>
        <w:t xml:space="preserve">（</w:t>
      </w:r>
      <w:r>
        <w:rPr>
          <w:rFonts w:hint="eastAsia" w:ascii="宋体" w:hAnsi="宋体"/>
          <w:bCs/>
          <w:color w:val="auto"/>
          <w:sz w:val="24"/>
          <w:szCs w:val="20"/>
          <w:highlight w:val="none"/>
          <w:lang w:val="en-US" w:eastAsia="zh-CN"/>
        </w:rPr>
        <w:t xml:space="preserve">1</w:t>
      </w:r>
      <w:r>
        <w:rPr>
          <w:rFonts w:hint="eastAsia" w:ascii="宋体" w:hAnsi="宋体"/>
          <w:bCs/>
          <w:color w:val="auto"/>
          <w:sz w:val="24"/>
          <w:szCs w:val="20"/>
          <w:highlight w:val="none"/>
          <w:lang w:eastAsia="zh-CN"/>
        </w:rPr>
        <w:t xml:space="preserve">）</w:t>
      </w:r>
      <w:r>
        <w:rPr>
          <w:rFonts w:hint="eastAsia" w:ascii="宋体" w:hAnsi="宋体" w:eastAsia="宋体" w:cs="宋体"/>
          <w:b w:val="0"/>
          <w:bCs w:val="0"/>
          <w:color w:val="auto"/>
          <w:sz w:val="24"/>
          <w:szCs w:val="24"/>
          <w:highlight w:val="none"/>
          <w:lang w:val="en-US" w:eastAsia="zh-CN" w:bidi="ar-SA"/>
        </w:rPr>
        <w:t xml:space="preserve">具有独立承担民事责任的能力，提供</w:t>
      </w:r>
      <w:r>
        <w:rPr>
          <w:rFonts w:hint="eastAsia" w:ascii="宋体" w:hAnsi="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合法有效的法人的营业执照(或事业单位法人证书)或其他组织应提供合法证明文件的原件扫描件(加盖电子签章)</w:t>
      </w:r>
      <w:r>
        <w:rPr>
          <w:rFonts w:hint="eastAsia" w:ascii="宋体" w:hAnsi="宋体"/>
          <w:b/>
          <w:color w:val="auto"/>
          <w:sz w:val="24"/>
          <w:szCs w:val="20"/>
          <w:highlight w:val="none"/>
        </w:rPr>
        <w:t xml:space="preserve">。</w:t>
      </w:r>
      <w:r/>
    </w:p>
    <w:p>
      <w:pPr>
        <w:ind w:firstLine="482"/>
        <w:jc w:val="left"/>
        <w:keepLines w:val="0"/>
        <w:keepNext w:val="0"/>
        <w:pageBreakBefore w:val="0"/>
        <w:spacing w:line="440" w:lineRule="exact"/>
        <w:widowControl/>
        <w:rPr>
          <w:rFonts w:ascii="宋体" w:hAnsi="宋体"/>
          <w:b w:val="0"/>
          <w:bCs/>
          <w:color w:val="auto"/>
          <w:sz w:val="24"/>
          <w:szCs w:val="20"/>
          <w:highlight w:val="none"/>
        </w:rPr>
        <w:outlineLvl w:val="9"/>
      </w:pPr>
      <w:r>
        <w:rPr>
          <w:rFonts w:hint="eastAsia" w:ascii="宋体" w:hAnsi="宋体" w:eastAsia="宋体" w:cs="宋体"/>
          <w:color w:val="auto"/>
          <w:sz w:val="24"/>
          <w:szCs w:val="24"/>
          <w:highlight w:val="none"/>
        </w:rPr>
        <w:t xml:space="preserve">（2）</w:t>
      </w:r>
      <w:r>
        <w:rPr>
          <w:rFonts w:hint="eastAsia" w:ascii="宋体" w:hAnsi="宋体"/>
          <w:bCs/>
          <w:color w:val="auto"/>
          <w:sz w:val="24"/>
          <w:szCs w:val="20"/>
          <w:highlight w:val="none"/>
        </w:rPr>
        <w:t xml:space="preserve">财务状况报告，提供</w:t>
      </w:r>
      <w:r>
        <w:rPr>
          <w:rFonts w:hint="eastAsia" w:ascii="宋体" w:hAnsi="宋体"/>
          <w:b w:val="0"/>
          <w:bCs/>
          <w:color w:val="auto"/>
          <w:sz w:val="24"/>
          <w:szCs w:val="20"/>
          <w:highlight w:val="none"/>
        </w:rPr>
        <w:t xml:space="preserve">供应商的本项目开标时间前6个月内任何时间（不含“首次响应文件提交的截止时间”当月）的资产负债表、利润表各一份或提供供应商上年度财务报告或供应商的本项目开标时间前6个月内银行出具的资信证明扫描件。</w:t>
      </w:r>
      <w:r/>
    </w:p>
    <w:p>
      <w:pPr>
        <w:ind w:firstLine="482"/>
        <w:jc w:val="left"/>
        <w:keepLines w:val="0"/>
        <w:keepNext w:val="0"/>
        <w:pageBreakBefore w:val="0"/>
        <w:spacing w:line="440" w:lineRule="exact"/>
        <w:widowControl/>
        <w:rPr>
          <w:rFonts w:ascii="宋体" w:hAnsi="宋体"/>
          <w:b w:val="0"/>
          <w:bCs/>
          <w:color w:val="auto"/>
          <w:sz w:val="24"/>
          <w:szCs w:val="20"/>
          <w:highlight w:val="none"/>
        </w:rPr>
        <w:outlineLvl w:val="9"/>
      </w:pPr>
      <w:r>
        <w:rPr>
          <w:rFonts w:hint="eastAsia" w:ascii="宋体" w:hAnsi="宋体" w:eastAsia="宋体" w:cs="宋体"/>
          <w:color w:val="auto"/>
          <w:sz w:val="24"/>
          <w:szCs w:val="24"/>
          <w:highlight w:val="none"/>
        </w:rPr>
        <w:t xml:space="preserve">（3）</w:t>
      </w:r>
      <w:r>
        <w:rPr>
          <w:rFonts w:ascii="宋体" w:hAnsi="宋体"/>
          <w:bCs/>
          <w:color w:val="auto"/>
          <w:sz w:val="24"/>
          <w:szCs w:val="20"/>
          <w:highlight w:val="none"/>
        </w:rPr>
        <w:t xml:space="preserve">有依法缴纳税收和社会保障资金的良好记录，提供</w:t>
      </w:r>
      <w:r>
        <w:rPr>
          <w:rFonts w:hint="eastAsia" w:ascii="宋体" w:hAnsi="宋体"/>
          <w:b w:val="0"/>
          <w:bCs/>
          <w:color w:val="auto"/>
          <w:sz w:val="24"/>
          <w:szCs w:val="20"/>
          <w:highlight w:val="none"/>
        </w:rPr>
        <w:t xml:space="preserve">供应商的提交首次响应文件时间前6个月内任何1月（不含“首次响应文件提交的截止时间”当月）的依法缴纳税收和社会保障资金的相关材料扫描件；或依法免税或不需要缴纳社会保障资金的供应商应提供相应其依法免税或不需要缴纳社会保障资金的证明文件扫描件</w:t>
      </w:r>
      <w:r>
        <w:rPr>
          <w:rFonts w:ascii="宋体" w:hAnsi="宋体"/>
          <w:b w:val="0"/>
          <w:bCs/>
          <w:color w:val="auto"/>
          <w:sz w:val="24"/>
          <w:szCs w:val="20"/>
          <w:highlight w:val="none"/>
        </w:rPr>
        <w:t xml:space="preserve">。</w:t>
      </w:r>
      <w:r/>
    </w:p>
    <w:p>
      <w:pPr>
        <w:ind w:firstLine="482"/>
        <w:jc w:val="left"/>
        <w:keepLines w:val="0"/>
        <w:keepNext w:val="0"/>
        <w:pageBreakBefore w:val="0"/>
        <w:spacing w:line="440" w:lineRule="exact"/>
        <w:widowControl/>
        <w:rPr>
          <w:rFonts w:ascii="宋体" w:hAnsi="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w:t>
      </w:r>
      <w:r>
        <w:rPr>
          <w:rFonts w:hint="eastAsia" w:ascii="宋体" w:hAnsi="宋体" w:eastAsia="宋体" w:cs="宋体"/>
          <w:b/>
          <w:bCs w:val="0"/>
          <w:color w:val="auto"/>
          <w:sz w:val="24"/>
          <w:szCs w:val="24"/>
          <w:highlight w:val="none"/>
        </w:rPr>
        <w:t xml:space="preserve">具备履行合同所必需的设备和专业技术能力的书面声明</w:t>
      </w:r>
      <w:r>
        <w:rPr>
          <w:rFonts w:hint="eastAsia" w:ascii="宋体" w:hAnsi="宋体"/>
          <w:b/>
          <w:bCs w:val="0"/>
          <w:color w:val="auto"/>
          <w:sz w:val="24"/>
          <w:szCs w:val="24"/>
          <w:highlight w:val="none"/>
        </w:rPr>
        <w:t xml:space="preserve">（加盖电子签章，格式见《磋商文件》附件）</w:t>
      </w:r>
      <w:r>
        <w:rPr>
          <w:rFonts w:hint="eastAsia" w:ascii="宋体" w:hAnsi="宋体"/>
          <w:b w:val="0"/>
          <w:bCs/>
          <w:color w:val="auto"/>
          <w:sz w:val="24"/>
          <w:szCs w:val="24"/>
          <w:highlight w:val="none"/>
        </w:rPr>
        <w:t xml:space="preserve">。</w:t>
      </w:r>
      <w:r/>
    </w:p>
    <w:p>
      <w:pPr>
        <w:ind w:firstLine="482"/>
        <w:jc w:val="left"/>
        <w:keepLines w:val="0"/>
        <w:keepNext w:val="0"/>
        <w:pageBreakBefore w:val="0"/>
        <w:spacing w:line="440" w:lineRule="exact"/>
        <w:widowControl/>
        <w:rPr>
          <w:rFonts w:hint="eastAsia" w:ascii="宋体" w:hAnsi="宋体"/>
          <w:b w:val="0"/>
          <w:bCs/>
          <w:color w:val="auto"/>
          <w:sz w:val="24"/>
          <w:szCs w:val="20"/>
          <w:highlight w:val="none"/>
        </w:rPr>
        <w:outlineLvl w:val="9"/>
      </w:pP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w:t>
      </w:r>
      <w:r>
        <w:rPr>
          <w:rFonts w:hint="eastAsia" w:ascii="宋体" w:hAnsi="宋体"/>
          <w:b w:val="0"/>
          <w:bCs/>
          <w:color w:val="auto"/>
          <w:sz w:val="24"/>
          <w:szCs w:val="20"/>
          <w:highlight w:val="none"/>
        </w:rPr>
        <w:t xml:space="preserve">供应商参加政府采购活动前</w:t>
      </w:r>
      <w:r>
        <w:rPr>
          <w:rFonts w:ascii="宋体" w:hAnsi="宋体"/>
          <w:b w:val="0"/>
          <w:bCs/>
          <w:color w:val="auto"/>
          <w:sz w:val="24"/>
          <w:szCs w:val="20"/>
          <w:highlight w:val="none"/>
        </w:rPr>
        <w:t xml:space="preserve">三</w:t>
      </w:r>
      <w:r>
        <w:rPr>
          <w:rFonts w:hint="eastAsia" w:ascii="宋体" w:hAnsi="宋体"/>
          <w:b w:val="0"/>
          <w:bCs/>
          <w:color w:val="auto"/>
          <w:sz w:val="24"/>
          <w:szCs w:val="20"/>
          <w:highlight w:val="none"/>
        </w:rPr>
        <w:t xml:space="preserve">年内在经营活动中没有重大违法记录的书面声明（加盖电子签章，格式见《磋商文件》附件）。</w:t>
      </w:r>
      <w:r/>
    </w:p>
    <w:p>
      <w:pPr>
        <w:ind w:left="0" w:right="-334"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2.落实政府采购政策需满足的资格要求：</w:t>
      </w:r>
      <w:r>
        <w:rPr>
          <w:rFonts w:ascii="宋体" w:hAnsi="宋体" w:eastAsia="宋体" w:cs="宋体"/>
          <w:color w:val="000000"/>
          <w:sz w:val="24"/>
          <w:highlight w:val="none"/>
        </w:rPr>
        <w:t xml:space="preserve">本项目为专门面向中小微企业采购的项目，供应商应为中小微企业（含中型、小型、微型企业，下同），响应文件中提供《中小企业声明函》（加盖电子签章，填写完整，格式见《磋商文件》附件，如不填写完整或未按要求填写的，视为无效）。《中小企业声明函》查询渠道用微信搜索“中小企业规模类型自测小程序”。</w:t>
      </w:r>
      <w:r/>
    </w:p>
    <w:p>
      <w:pPr>
        <w:ind w:left="0" w:right="-334" w:firstLine="361"/>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注：中小微企业，应当同时符合以下条件：</w:t>
      </w:r>
      <w:r/>
    </w:p>
    <w:p>
      <w:pPr>
        <w:ind w:left="0" w:right="-334" w:firstLine="36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334" w:firstLine="36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1235"/>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rPr>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rPr>
        <w:t xml:space="preserve">3.本项目的特定资格要求：</w:t>
      </w:r>
      <w:r/>
    </w:p>
    <w:p>
      <w:pPr>
        <w:pStyle w:val="993"/>
        <w:ind w:left="0" w:firstLine="482"/>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①供应商的</w:t>
      </w:r>
      <w:r>
        <w:rPr>
          <w:rFonts w:hint="eastAsia" w:ascii="宋体" w:hAnsi="宋体" w:eastAsia="宋体" w:cs="宋体"/>
          <w:b/>
          <w:bCs/>
          <w:color w:val="auto"/>
          <w:sz w:val="24"/>
          <w:szCs w:val="24"/>
          <w:highlight w:val="none"/>
          <w:lang w:eastAsia="zh-CN"/>
        </w:rPr>
        <w:t xml:space="preserve">市政公用工程施工总承包叁级（含）以上资质或水利水电</w:t>
      </w:r>
      <w:r>
        <w:rPr>
          <w:rFonts w:hint="eastAsia" w:ascii="宋体" w:hAnsi="宋体" w:eastAsia="宋体" w:cs="宋体"/>
          <w:b/>
          <w:bCs/>
          <w:color w:val="auto"/>
          <w:sz w:val="24"/>
          <w:szCs w:val="24"/>
          <w:highlight w:val="none"/>
        </w:rPr>
        <w:t xml:space="preserve">工程施工总承包叁级（含）以上资质证书；</w:t>
      </w:r>
      <w:r/>
    </w:p>
    <w:p>
      <w:pPr>
        <w:pStyle w:val="993"/>
        <w:ind w:left="0" w:firstLine="482"/>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②供应商的有效的《安全生产许可证》证书；</w:t>
      </w:r>
      <w:r/>
    </w:p>
    <w:p>
      <w:pPr>
        <w:ind w:left="0" w:right="0" w:firstLine="480"/>
        <w:jc w:val="both"/>
        <w:keepLines w:val="0"/>
        <w:keepNext w:val="0"/>
        <w:spacing w:before="0" w:beforeAutospacing="0" w:after="0" w:afterAutospacing="0" w:line="360" w:lineRule="auto"/>
        <w:widowControl/>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rPr>
        <w:t xml:space="preserve">③拟派项目负责人须具备</w:t>
      </w:r>
      <w:r>
        <w:rPr>
          <w:rFonts w:hint="eastAsia" w:ascii="宋体" w:hAnsi="宋体" w:eastAsia="宋体" w:cs="宋体"/>
          <w:b/>
          <w:bCs/>
          <w:color w:val="auto"/>
          <w:sz w:val="24"/>
          <w:szCs w:val="24"/>
          <w:highlight w:val="none"/>
          <w:lang w:eastAsia="zh-CN"/>
        </w:rPr>
        <w:t xml:space="preserve">市政公用工程贰级（含）以上注册建造师资格或水利水电</w:t>
      </w:r>
      <w:r>
        <w:rPr>
          <w:rFonts w:hint="eastAsia" w:ascii="宋体" w:hAnsi="宋体" w:eastAsia="宋体" w:cs="宋体"/>
          <w:b/>
          <w:bCs/>
          <w:color w:val="auto"/>
          <w:sz w:val="24"/>
          <w:szCs w:val="24"/>
          <w:highlight w:val="none"/>
        </w:rPr>
        <w:t xml:space="preserve">工程贰级（含）以上注册建造师资质及安全考核合格证书（B证），无在建工程（提供无在建承诺书）</w:t>
      </w:r>
      <w:r>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t xml:space="preserve">。</w:t>
      </w:r>
      <w:r/>
    </w:p>
    <w:p>
      <w:pPr>
        <w:pStyle w:val="1019"/>
        <w:rPr>
          <w:rFonts w:hint="eastAsia"/>
          <w:highlight w:val="none"/>
          <w:lang w:val="en-US" w:eastAsia="zh-CN"/>
        </w:rPr>
      </w:pPr>
      <w:r>
        <w:rPr>
          <w:rFonts w:hint="eastAsia"/>
          <w:highlight w:val="none"/>
          <w:lang w:val="en-US" w:eastAsia="zh-CN"/>
        </w:rPr>
      </w:r>
      <w:r/>
    </w:p>
    <w:p>
      <w:pPr>
        <w:numPr>
          <w:ilvl w:val="0"/>
          <w:numId w:val="0"/>
        </w:numPr>
        <w:ind w:left="0" w:right="0" w:firstLine="0"/>
        <w:keepLines w:val="0"/>
        <w:keepNext w:val="0"/>
        <w:pageBreakBefore w:val="0"/>
        <w:spacing w:line="440" w:lineRule="exac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w:t>
      </w:r>
      <w:r>
        <w:rPr>
          <w:rFonts w:ascii="宋体" w:hAnsi="宋体" w:eastAsia="宋体" w:cs="宋体"/>
          <w:b/>
          <w:color w:val="000000"/>
          <w:sz w:val="24"/>
          <w:highlight w:val="none"/>
        </w:rPr>
        <w:t xml:space="preserve">符合条件（必须提供，否则响应无效）</w:t>
      </w:r>
      <w:r/>
    </w:p>
    <w:p>
      <w:pPr>
        <w:ind w:left="0" w:right="-334" w:firstLine="482"/>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1</w:t>
      </w:r>
      <w:r>
        <w:rPr>
          <w:rFonts w:ascii="宋体" w:hAnsi="宋体" w:eastAsia="宋体" w:cs="宋体"/>
          <w:b/>
          <w:color w:val="000000"/>
          <w:sz w:val="24"/>
          <w:highlight w:val="none"/>
        </w:rPr>
        <w:t xml:space="preserve">.《磋商报价表》（加盖电子签章，格式见《磋商文件》附件）；</w:t>
      </w:r>
      <w:r/>
    </w:p>
    <w:p>
      <w:pPr>
        <w:pStyle w:val="1013"/>
        <w:numPr>
          <w:ilvl w:val="0"/>
          <w:numId w:val="0"/>
        </w:numPr>
        <w:ind w:right="30" w:firstLine="482"/>
        <w:jc w:val="both"/>
        <w:keepLines w:val="0"/>
        <w:keepNext w:val="0"/>
        <w:pageBreakBefore w:val="0"/>
        <w:spacing w:after="0" w:line="440" w:lineRule="exact"/>
        <w:rPr>
          <w:highlight w:val="none"/>
        </w:rPr>
      </w:pPr>
      <w:r>
        <w:rPr>
          <w:rFonts w:hint="eastAsia" w:ascii="宋体" w:hAnsi="宋体" w:eastAsia="宋体" w:cs="宋体"/>
          <w:b/>
          <w:color w:val="000000"/>
          <w:sz w:val="24"/>
          <w:highlight w:val="none"/>
          <w:lang w:val="en-US" w:eastAsia="zh-CN"/>
        </w:rPr>
        <w:t xml:space="preserve">2</w:t>
      </w:r>
      <w:r>
        <w:rPr>
          <w:rFonts w:ascii="宋体" w:hAnsi="宋体" w:eastAsia="宋体" w:cs="宋体"/>
          <w:b/>
          <w:color w:val="000000"/>
          <w:sz w:val="24"/>
          <w:highlight w:val="none"/>
        </w:rPr>
        <w:t xml:space="preserve">.《分项价格表》（加盖电子签章，格式见《磋商文件》附件）；</w:t>
      </w:r>
      <w:r/>
    </w:p>
    <w:p>
      <w:pPr>
        <w:ind w:left="0" w:right="-334" w:firstLine="482"/>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3</w:t>
      </w:r>
      <w:r>
        <w:rPr>
          <w:rFonts w:ascii="宋体" w:hAnsi="宋体" w:eastAsia="宋体" w:cs="宋体"/>
          <w:b/>
          <w:color w:val="000000"/>
          <w:sz w:val="24"/>
          <w:highlight w:val="none"/>
        </w:rPr>
        <w:t xml:space="preserve">.《承诺书》（加盖电子签章，格式见《磋商文件》附件）；</w:t>
      </w:r>
      <w:r/>
    </w:p>
    <w:p>
      <w:pPr>
        <w:ind w:left="0" w:right="-334" w:firstLine="482"/>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4</w:t>
      </w:r>
      <w:r>
        <w:rPr>
          <w:rFonts w:ascii="宋体" w:hAnsi="宋体" w:eastAsia="宋体" w:cs="宋体"/>
          <w:b/>
          <w:color w:val="000000"/>
          <w:sz w:val="24"/>
          <w:highlight w:val="none"/>
        </w:rPr>
        <w:t xml:space="preserve">.《授权委托书》（加盖电子签章，格式见《磋商文件》附件）；</w:t>
      </w:r>
      <w:r/>
    </w:p>
    <w:p>
      <w:pPr>
        <w:ind w:left="0" w:right="-334" w:firstLine="482"/>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5.《偏离表》（加盖电子签章，</w:t>
      </w:r>
      <w:r>
        <w:rPr>
          <w:rFonts w:ascii="宋体" w:hAnsi="宋体" w:eastAsia="宋体" w:cs="宋体"/>
          <w:b/>
          <w:color w:val="000000"/>
          <w:sz w:val="24"/>
          <w:highlight w:val="none"/>
        </w:rPr>
        <w:t xml:space="preserve">格式见《磋商文件》附件）；</w:t>
      </w:r>
      <w:r/>
    </w:p>
    <w:p>
      <w:pPr>
        <w:ind w:left="0" w:right="0" w:firstLine="0"/>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（四）综合评审评分项</w:t>
      </w:r>
      <w:r/>
    </w:p>
    <w:p>
      <w:pPr>
        <w:ind w:left="0" w:right="0" w:firstLine="480"/>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1、技术部分</w:t>
      </w:r>
      <w:r/>
    </w:p>
    <w:p>
      <w:pPr>
        <w:ind w:left="0" w:right="-334" w:firstLine="360"/>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1.1《施工方案》（要求见《磋商文件》附件2、《项目要求（采购需求）》及附件1、《评分细则》）；</w:t>
      </w:r>
      <w:r/>
    </w:p>
    <w:p>
      <w:pPr>
        <w:ind w:left="0" w:right="0" w:firstLine="480"/>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2、商务部分</w:t>
      </w:r>
      <w:r/>
    </w:p>
    <w:p>
      <w:pPr>
        <w:ind w:left="0" w:right="0" w:firstLine="480"/>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2.1供应商业绩（要求见《磋商文件》附件1、《评分细则》）；</w:t>
      </w:r>
      <w:r/>
    </w:p>
    <w:p>
      <w:pPr>
        <w:ind w:left="0" w:right="0" w:firstLine="482"/>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2.2评分细则中评分得分需提供的相关证明文件原件扫描件或供应商认为需要提供的其他资料扫描件。</w:t>
      </w:r>
      <w:r/>
    </w:p>
    <w:p>
      <w:pPr>
        <w:pStyle w:val="994"/>
        <w:keepLines w:val="0"/>
        <w:keepNext w:val="0"/>
        <w:pageBreakBefore w:val="0"/>
        <w:spacing w:line="44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（五）价格折扣文件格式</w:t>
      </w:r>
      <w:r/>
    </w:p>
    <w:p>
      <w:pPr>
        <w:pStyle w:val="1000"/>
        <w:ind w:firstLine="480"/>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1、企业报价折扣证明：无</w:t>
      </w:r>
      <w:r/>
    </w:p>
    <w:p>
      <w:pPr>
        <w:pStyle w:val="1000"/>
        <w:ind w:firstLine="480"/>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本项目属于专门面向中小企业采购的项目，评审时不再执行价格评审优惠政策。</w:t>
      </w:r>
      <w:r/>
    </w:p>
    <w:p>
      <w:pPr>
        <w:pStyle w:val="994"/>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（六）提交的首次响应文件的密封、签署、盖章要求：</w:t>
      </w:r>
      <w:r/>
    </w:p>
    <w:p>
      <w:pPr>
        <w:pStyle w:val="99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密封（加密）要求：</w:t>
      </w:r>
      <w:r/>
    </w:p>
    <w:p>
      <w:pPr>
        <w:pStyle w:val="99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9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签署要求：见《磋商文件》第九章附件中相关格式要求。</w:t>
      </w:r>
      <w:r/>
    </w:p>
    <w:p>
      <w:pPr>
        <w:pStyle w:val="99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盖章要求：见《磋商文件》第九章附件中相关格式要求。供应商须通过“苏采云”系统提供的政府采购客户端工具（使用“CA数字证书”）加盖电子签章。</w:t>
      </w:r>
      <w:r/>
    </w:p>
    <w:p>
      <w:pPr>
        <w:pStyle w:val="99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特别提醒：竞争性磋商文件中如需“被授权代表签字或盖章”，供应商可打印成文档，签字或盖章后再扫描上传，最后再电子签章。</w:t>
      </w:r>
      <w:r/>
    </w:p>
    <w:p>
      <w:pPr>
        <w:pStyle w:val="994"/>
        <w:ind w:firstLine="482"/>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（七）通过“苏采云”系统提交政府采购客户端工具导出加密的响应文件（后缀名为zip）。响应文件不得超过</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50M！ </w:t>
      </w:r>
      <w:r/>
    </w:p>
    <w:p>
      <w:pPr>
        <w:pStyle w:val="994"/>
        <w:ind w:firstLine="497"/>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pStyle w:val="994"/>
        <w:numPr>
          <w:ilvl w:val="0"/>
          <w:numId w:val="2"/>
        </w:numPr>
        <w:ind w:firstLine="497"/>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供应商应当按照《磋商文件》的要求编制响应文件，并对其提交的响应文件的真实性、合法性承担法律责任。</w:t>
      </w:r>
      <w:r/>
    </w:p>
    <w:p>
      <w:pPr>
        <w:ind w:firstLine="480"/>
        <w:keepLines w:val="0"/>
        <w:keepNext w:val="0"/>
        <w:pageBreakBefore w:val="0"/>
        <w:spacing w:line="440" w:lineRule="exact"/>
        <w:widowControl/>
        <w:rPr>
          <w:rFonts w:hint="eastAsia" w:ascii="宋体" w:hAnsi="宋体" w:eastAsia="宋体" w:cs="宋体"/>
          <w:color w:val="auto"/>
          <w:sz w:val="24"/>
          <w:highlight w:val="none"/>
        </w:rPr>
        <w:outlineLvl w:val="2"/>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采购人索取成交供应商的响应文件，须在双方签订政府采购合同后，由</w:t>
      </w:r>
      <w:r>
        <w:rPr>
          <w:rFonts w:hint="eastAsia" w:ascii="宋体" w:hAnsi="宋体" w:eastAsia="宋体" w:cs="宋体"/>
          <w:color w:val="auto"/>
          <w:sz w:val="24"/>
          <w:highlight w:val="none"/>
          <w:lang w:val="en-US" w:eastAsia="zh-CN"/>
        </w:rPr>
        <w:t xml:space="preserve">采购代理机构</w:t>
      </w:r>
      <w:r>
        <w:rPr>
          <w:rFonts w:hint="eastAsia" w:ascii="宋体" w:hAnsi="宋体" w:eastAsia="宋体" w:cs="宋体"/>
          <w:color w:val="auto"/>
          <w:sz w:val="24"/>
          <w:highlight w:val="none"/>
        </w:rPr>
        <w:t xml:space="preserve">提供给采购人。</w:t>
      </w:r>
      <w:r/>
    </w:p>
    <w:p>
      <w:pPr>
        <w:pStyle w:val="1001"/>
        <w:numPr>
          <w:ilvl w:val="0"/>
          <w:numId w:val="0"/>
        </w:numPr>
        <w:ind w:right="454"/>
        <w:keepLines w:val="0"/>
        <w:keepNext w:val="0"/>
        <w:pageBreakBefore w:val="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994"/>
        <w:ind w:firstLine="478"/>
        <w:jc w:val="center"/>
        <w:keepLines w:val="0"/>
        <w:keepNext w:val="0"/>
        <w:pageBreakBefore w:val="0"/>
        <w:spacing w:line="44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第四章 磋商相关说明</w:t>
      </w:r>
      <w:r/>
    </w:p>
    <w:p>
      <w:pPr>
        <w:keepLines w:val="0"/>
        <w:keepNext w:val="0"/>
        <w:pageBreakBefore w:val="0"/>
        <w:spacing w:line="440" w:lineRule="exact"/>
        <w:rPr>
          <w:rFonts w:hint="eastAsia" w:ascii="宋体" w:hAnsi="宋体" w:eastAsia="宋体" w:cs="宋体"/>
          <w:b/>
          <w:bCs/>
          <w:color w:val="auto"/>
          <w:sz w:val="24"/>
          <w:highlight w:val="none"/>
          <w:lang w:eastAsia="zh-CN"/>
        </w:rPr>
        <w:outlineLvl w:val="9"/>
      </w:pPr>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磋商程序</w:t>
      </w:r>
      <w:r/>
    </w:p>
    <w:p>
      <w:pPr>
        <w:pStyle w:val="994"/>
        <w:keepLines w:val="0"/>
        <w:keepNext w:val="0"/>
        <w:pageBreakBefore w:val="0"/>
        <w:spacing w:line="44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磋商要求</w:t>
      </w:r>
      <w:r/>
    </w:p>
    <w:p>
      <w:pPr>
        <w:pStyle w:val="99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被邀请参与磋商的供应商需按本竞争性磋商文件要求的截止时间、方式（地点）提交首次响应文件，同时派人</w:t>
      </w:r>
      <w:r>
        <w:rPr>
          <w:rFonts w:hint="eastAsia" w:ascii="宋体" w:hAnsi="宋体" w:eastAsia="宋体" w:cs="宋体"/>
          <w:color w:val="auto"/>
          <w:sz w:val="24"/>
          <w:highlight w:val="none"/>
          <w:lang w:val="en-US" w:eastAsia="zh-CN"/>
        </w:rPr>
        <w:t xml:space="preserve">通过“苏采云”系统在“开标大厅”等待</w:t>
      </w:r>
      <w:r>
        <w:rPr>
          <w:rFonts w:hint="eastAsia" w:ascii="宋体" w:hAnsi="宋体" w:eastAsia="宋体" w:cs="宋体"/>
          <w:color w:val="auto"/>
          <w:sz w:val="24"/>
          <w:highlight w:val="none"/>
        </w:rPr>
        <w:t xml:space="preserve">磋商。</w:t>
      </w:r>
      <w:r/>
    </w:p>
    <w:p>
      <w:pPr>
        <w:pStyle w:val="99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供应商可</w:t>
      </w:r>
      <w:r>
        <w:rPr>
          <w:rFonts w:hint="eastAsia" w:ascii="宋体" w:hAnsi="宋体" w:eastAsia="宋体" w:cs="宋体"/>
          <w:color w:val="auto"/>
          <w:sz w:val="24"/>
          <w:highlight w:val="none"/>
          <w:lang w:val="en-US" w:eastAsia="zh-CN"/>
        </w:rPr>
        <w:t xml:space="preserve">通过</w:t>
      </w:r>
      <w:r>
        <w:rPr>
          <w:rFonts w:hint="eastAsia" w:ascii="宋体" w:hAnsi="宋体" w:eastAsia="宋体" w:cs="宋体"/>
          <w:color w:val="auto"/>
          <w:sz w:val="24"/>
          <w:highlight w:val="none"/>
        </w:rPr>
        <w:t xml:space="preserve">CA数字证书，在首次响应文件开启时间后，使用CA数字证书</w:t>
      </w:r>
      <w:r>
        <w:rPr>
          <w:rFonts w:hint="eastAsia" w:ascii="宋体" w:hAnsi="宋体" w:eastAsia="宋体" w:cs="宋体"/>
          <w:color w:val="auto"/>
          <w:sz w:val="24"/>
          <w:highlight w:val="none"/>
          <w:lang w:val="en-US" w:eastAsia="zh-CN"/>
        </w:rPr>
        <w:t xml:space="preserve">在规定时间内</w:t>
      </w:r>
      <w:r>
        <w:rPr>
          <w:rFonts w:hint="eastAsia" w:ascii="宋体" w:hAnsi="宋体" w:eastAsia="宋体" w:cs="宋体"/>
          <w:color w:val="auto"/>
          <w:sz w:val="24"/>
          <w:highlight w:val="none"/>
        </w:rPr>
        <w:t xml:space="preserve">解密各自响应文件。</w:t>
      </w:r>
      <w:r/>
    </w:p>
    <w:p>
      <w:pPr>
        <w:pStyle w:val="99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供应商授权的磋商人员需携带授权委托书原件及身份证原件，经磋商小组核查后参与磋商活动。</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4、磋商顺序按照电子标书解密先后时间进行，解密时间相同的，不分先后顺序。</w:t>
      </w:r>
      <w:r/>
    </w:p>
    <w:p>
      <w:pPr>
        <w:pStyle w:val="994"/>
        <w:ind w:firstLine="497"/>
        <w:keepLines w:val="0"/>
        <w:keepNext w:val="0"/>
        <w:pageBreakBefore w:val="0"/>
        <w:spacing w:line="44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5、磋商方式：</w:t>
      </w:r>
      <w:r>
        <w:rPr>
          <w:rFonts w:hint="eastAsia" w:ascii="宋体" w:hAnsi="宋体" w:eastAsia="宋体" w:cs="宋体"/>
          <w:b/>
          <w:bCs/>
          <w:color w:val="auto"/>
          <w:sz w:val="24"/>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（所有邀请等待时间2分钟，2分钟内所邀请供应商无响应，视同放弃磋商的权利，由解密顺序下一家进行磋商，不再后补）</w:t>
      </w:r>
      <w:r/>
    </w:p>
    <w:p>
      <w:pPr>
        <w:pStyle w:val="1055"/>
        <w:ind w:firstLine="482"/>
        <w:keepLines w:val="0"/>
        <w:keepNext w:val="0"/>
        <w:pageBreakBefore w:val="0"/>
        <w:spacing w:line="440" w:lineRule="exact"/>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供应商的授权代表或法定代表人须全程守候在“苏采云”系统开标大厅，并确保视频设备正常使用。授权代表或法定代表人须携带授权委托书原件及身份证原件，经磋商小组核查后参与磋商活动。</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6.未在规定时间内进行答疑澄清的，视同放弃澄清。</w:t>
      </w:r>
      <w:r/>
    </w:p>
    <w:p>
      <w:pPr>
        <w:pStyle w:val="994"/>
        <w:ind w:firstLine="497"/>
        <w:keepLines w:val="0"/>
        <w:keepNext w:val="0"/>
        <w:pageBreakBefore w:val="0"/>
        <w:spacing w:line="440" w:lineRule="exact"/>
        <w:widowControl w:val="off"/>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7.未在规定时间内进行报价的，视为响应无效。</w:t>
      </w:r>
      <w:r/>
    </w:p>
    <w:p>
      <w:pPr>
        <w:pStyle w:val="994"/>
        <w:ind w:firstLine="480"/>
        <w:keepLines w:val="0"/>
        <w:keepNext w:val="0"/>
        <w:pageBreakBefore w:val="0"/>
        <w:spacing w:line="440" w:lineRule="exact"/>
        <w:widowControl w:val="off"/>
        <w:rPr>
          <w:rFonts w:hint="eastAsia" w:ascii="宋体" w:hAnsi="宋体" w:eastAsia="宋体" w:cs="宋体"/>
          <w:b/>
          <w:bCs/>
          <w:color w:val="ff0000"/>
          <w:sz w:val="24"/>
          <w:highlight w:val="none"/>
          <w:lang w:val="en-US" w:eastAsia="zh-CN"/>
        </w:rPr>
      </w:pPr>
      <w:r>
        <w:rPr>
          <w:rFonts w:hint="eastAsia" w:ascii="宋体" w:hAnsi="宋体" w:eastAsia="宋体" w:cs="宋体"/>
          <w:b/>
          <w:bCs/>
          <w:color w:val="auto"/>
          <w:sz w:val="24"/>
          <w:highlight w:val="none"/>
          <w:lang w:val="en-US" w:eastAsia="zh-CN"/>
        </w:rPr>
        <w:t xml:space="preserve">注：</w:t>
      </w:r>
      <w:r>
        <w:rPr>
          <w:rFonts w:hint="eastAsia" w:ascii="宋体" w:hAnsi="宋体" w:cs="宋体"/>
          <w:b/>
          <w:bCs/>
          <w:color w:val="ff0000"/>
          <w:sz w:val="24"/>
          <w:highlight w:val="none"/>
        </w:rPr>
        <w:t xml:space="preserve">本项目报价采用二轮报价，</w:t>
      </w:r>
      <w:r>
        <w:rPr>
          <w:rFonts w:hint="eastAsia" w:ascii="宋体" w:hAnsi="宋体" w:eastAsia="宋体" w:cs="宋体"/>
          <w:b/>
          <w:bCs/>
          <w:color w:val="ff0000"/>
          <w:sz w:val="24"/>
          <w:highlight w:val="none"/>
          <w:lang w:val="en-US" w:eastAsia="zh-CN"/>
        </w:rPr>
        <w:t xml:space="preserve">各供应商在未进行第二次报价前，请不要离开开标系统，供应商</w:t>
      </w:r>
      <w:r>
        <w:rPr>
          <w:rFonts w:hint="eastAsia" w:ascii="宋体" w:hAnsi="宋体" w:cs="宋体"/>
          <w:b/>
          <w:bCs/>
          <w:color w:val="ff0000"/>
          <w:sz w:val="24"/>
          <w:highlight w:val="none"/>
        </w:rPr>
        <w:t xml:space="preserve">应凭CA数字证书以及能够登录“苏采云”系统的电脑在规定时间内进行二轮报价，如未进行二轮报价，</w:t>
      </w:r>
      <w:r>
        <w:rPr>
          <w:rFonts w:ascii="宋体" w:hAnsi="宋体" w:cs="宋体"/>
          <w:b/>
          <w:color w:val="ff0000"/>
          <w:sz w:val="24"/>
          <w:highlight w:val="none"/>
        </w:rPr>
        <w:t xml:space="preserve">视为响应无效</w:t>
      </w:r>
      <w:r>
        <w:rPr>
          <w:rFonts w:hint="eastAsia" w:ascii="宋体" w:hAnsi="宋体" w:eastAsia="宋体" w:cs="宋体"/>
          <w:b/>
          <w:bCs/>
          <w:color w:val="ff0000"/>
          <w:sz w:val="24"/>
          <w:highlight w:val="none"/>
          <w:lang w:val="en-US" w:eastAsia="zh-CN"/>
        </w:rPr>
        <w:t xml:space="preserve">，由供应商负责。</w:t>
      </w:r>
      <w:r/>
    </w:p>
    <w:p>
      <w:pPr>
        <w:pStyle w:val="994"/>
        <w:ind w:firstLine="497"/>
        <w:keepLines w:val="0"/>
        <w:keepNext w:val="0"/>
        <w:pageBreakBefore w:val="0"/>
        <w:spacing w:line="44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8.被邀请参与磋商的供应商如未按上述磋商要求执行，视同放弃磋商的权利。</w:t>
      </w:r>
      <w:r/>
    </w:p>
    <w:p>
      <w:pPr>
        <w:pStyle w:val="994"/>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9.本项目无效标书判定（磋商文件的实质性要求）</w:t>
      </w:r>
      <w:r/>
    </w:p>
    <w:p>
      <w:pPr>
        <w:pStyle w:val="99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9.1</w:t>
      </w:r>
      <w:r>
        <w:rPr>
          <w:rFonts w:hint="eastAsia" w:ascii="宋体" w:hAnsi="宋体" w:eastAsia="宋体" w:cs="宋体"/>
          <w:color w:val="auto"/>
          <w:sz w:val="24"/>
          <w:highlight w:val="none"/>
        </w:rPr>
        <w:t xml:space="preserve">供应商资格条件不符合国家有关规定或磋商文件要求的；</w:t>
      </w:r>
      <w:r/>
    </w:p>
    <w:p>
      <w:pPr>
        <w:pStyle w:val="99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9.2</w:t>
      </w:r>
      <w:r>
        <w:rPr>
          <w:rFonts w:hint="eastAsia" w:ascii="宋体" w:hAnsi="宋体" w:eastAsia="宋体" w:cs="宋体"/>
          <w:color w:val="auto"/>
          <w:sz w:val="24"/>
          <w:highlight w:val="none"/>
        </w:rPr>
        <w:t xml:space="preserve">响应报价低于成本或者高于磋商文件设定的最高限价的；</w:t>
      </w:r>
      <w:r/>
    </w:p>
    <w:p>
      <w:pPr>
        <w:pStyle w:val="99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9.3</w:t>
      </w:r>
      <w:r>
        <w:rPr>
          <w:rFonts w:hint="eastAsia" w:ascii="宋体" w:hAnsi="宋体" w:eastAsia="宋体" w:cs="宋体"/>
          <w:color w:val="auto"/>
          <w:sz w:val="24"/>
          <w:highlight w:val="none"/>
        </w:rPr>
        <w:t xml:space="preserve">响应文件载明的</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项目完成期限超过磋商文件规定的期限的； </w:t>
      </w:r>
      <w:r/>
    </w:p>
    <w:p>
      <w:pPr>
        <w:pStyle w:val="99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9.4</w:t>
      </w:r>
      <w:r>
        <w:rPr>
          <w:rFonts w:hint="eastAsia" w:ascii="宋体" w:hAnsi="宋体" w:eastAsia="宋体" w:cs="宋体"/>
          <w:color w:val="auto"/>
          <w:sz w:val="24"/>
          <w:highlight w:val="none"/>
        </w:rPr>
        <w:t xml:space="preserve">明显不符合技术规范、技术标准的要求的； </w:t>
      </w:r>
      <w:r/>
    </w:p>
    <w:p>
      <w:pPr>
        <w:pStyle w:val="99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9.5</w:t>
      </w:r>
      <w:r>
        <w:rPr>
          <w:rFonts w:hint="eastAsia" w:ascii="宋体" w:hAnsi="宋体" w:eastAsia="宋体" w:cs="宋体"/>
          <w:color w:val="auto"/>
          <w:sz w:val="24"/>
          <w:highlight w:val="none"/>
        </w:rPr>
        <w:t xml:space="preserve">响应文件提出了不能满足磋商文件要求或采购人不能接受的工程验收、计量、价款结算和支付办法的； </w:t>
      </w:r>
      <w:r/>
    </w:p>
    <w:p>
      <w:pPr>
        <w:pStyle w:val="99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9.6</w:t>
      </w:r>
      <w:r>
        <w:rPr>
          <w:rFonts w:hint="eastAsia" w:ascii="宋体" w:hAnsi="宋体" w:eastAsia="宋体" w:cs="宋体"/>
          <w:color w:val="auto"/>
          <w:sz w:val="24"/>
          <w:highlight w:val="none"/>
        </w:rPr>
        <w:t xml:space="preserve">不同供应商的响应文件以及响应文件制作过程出现了评标委员会认为不应当雷同的情况的； </w:t>
      </w:r>
      <w:r/>
    </w:p>
    <w:p>
      <w:pPr>
        <w:pStyle w:val="99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9.7</w:t>
      </w:r>
      <w:r>
        <w:rPr>
          <w:rFonts w:hint="eastAsia" w:ascii="宋体" w:hAnsi="宋体" w:eastAsia="宋体" w:cs="宋体"/>
          <w:color w:val="auto"/>
          <w:sz w:val="24"/>
          <w:highlight w:val="none"/>
        </w:rPr>
        <w:t xml:space="preserve">以他人的名义投标、串通投标、以行贿手段谋取成交或者以其他弄虚作假方式投标的。</w:t>
      </w:r>
      <w:r/>
    </w:p>
    <w:p>
      <w:pPr>
        <w:pStyle w:val="99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9.8</w:t>
      </w:r>
      <w:r>
        <w:rPr>
          <w:rFonts w:hint="eastAsia" w:ascii="宋体" w:hAnsi="宋体" w:eastAsia="宋体" w:cs="宋体"/>
          <w:color w:val="auto"/>
          <w:sz w:val="24"/>
          <w:highlight w:val="none"/>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 (二) 查询及使用供应商信用记录</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1.由采购人查询信用信息。</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2.查询渠道包括：</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(1)“信用中国”网（www.creditchina.gov.cn）；</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 中国政府采购网（www.ccgp.gov.cn）；</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 “诚信江苏”网（www.jiangsu.gov.cn/jsxy/index.htm）</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和或“信用江苏”网（http://credit.jiangsu.gov.cn/）；</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(4)“诚信徐州”网（ http://www.xuzhoucredit.gov.cn）。</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和或“信用徐州”网（www.xuzhoucredit.gov.cn/）。</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3.截止时点（查询环节）：首次响应文件开启后资格审查结束前。</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4.信用信息查询记录和证据留存的具体方式：</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网页截屏打印，与其他采购文件一并保存。</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5.信用信息的使用规则：</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十五、评审程序</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磋商小组在阅读完所有磋商供应商的响应文件后，集中与单一供应商代表分别就技术参数等技术问题及价格和售后服务等内容进行磋商。</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 磋商结束后，磋商小组应当要求所有参加磋商的供应商在规定时间内进行最后报价。供应商可按照磋商小组的要求在磋商现场（</w:t>
      </w:r>
      <w:r>
        <w:rPr>
          <w:rFonts w:hint="eastAsia" w:ascii="宋体" w:hAnsi="宋体" w:eastAsia="宋体" w:cs="宋体"/>
          <w:b/>
          <w:bCs/>
          <w:color w:val="auto"/>
          <w:sz w:val="24"/>
          <w:highlight w:val="none"/>
          <w:lang w:val="en-US" w:eastAsia="zh-CN"/>
        </w:rPr>
        <w:t xml:space="preserve">即“苏采云”系统开标大厅中</w:t>
      </w:r>
      <w:r>
        <w:rPr>
          <w:rFonts w:hint="eastAsia" w:ascii="宋体" w:hAnsi="宋体" w:eastAsia="宋体" w:cs="宋体"/>
          <w:color w:val="auto"/>
          <w:sz w:val="24"/>
          <w:highlight w:val="none"/>
          <w:lang w:val="en-US" w:eastAsia="zh-CN"/>
        </w:rPr>
        <w:t xml:space="preserve">）进行不少于两次的报价，首轮报价不公开，本项目二次报价为最后报价。</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hint="eastAsia" w:ascii="宋体" w:hAnsi="宋体" w:eastAsia="宋体" w:cs="宋体"/>
          <w:b/>
          <w:bCs/>
          <w:color w:val="auto"/>
          <w:sz w:val="24"/>
          <w:highlight w:val="none"/>
          <w:lang w:val="en-US" w:eastAsia="zh-CN"/>
        </w:rPr>
        <w:t xml:space="preserve">施工</w:t>
      </w:r>
      <w:r>
        <w:rPr>
          <w:rFonts w:hint="eastAsia" w:ascii="宋体" w:hAnsi="宋体" w:cs="宋体"/>
          <w:b/>
          <w:bCs/>
          <w:color w:val="auto"/>
          <w:sz w:val="24"/>
          <w:highlight w:val="none"/>
          <w:lang w:val="en-US" w:eastAsia="zh-CN"/>
        </w:rPr>
        <w:t xml:space="preserve">方案</w:t>
      </w:r>
      <w:r>
        <w:rPr>
          <w:rFonts w:hint="eastAsia" w:ascii="宋体" w:hAnsi="宋体" w:eastAsia="宋体" w:cs="宋体"/>
          <w:color w:val="auto"/>
          <w:sz w:val="24"/>
          <w:highlight w:val="none"/>
          <w:lang w:val="en-US" w:eastAsia="zh-CN"/>
        </w:rPr>
        <w:t xml:space="preserve">（得分）顺序推荐。</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十六、评审方法和评审标准</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1、评审方法：综合评分法</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2、评审标准：详见《磋商文件》附件1、《评分细则》</w:t>
      </w:r>
      <w:r/>
    </w:p>
    <w:p>
      <w:pPr>
        <w:pStyle w:val="99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b w:val="0"/>
          <w:bCs w:val="0"/>
          <w:color w:val="auto"/>
          <w:sz w:val="24"/>
          <w:highlight w:val="none"/>
          <w:lang w:val="en-US" w:eastAsia="zh-CN"/>
        </w:rPr>
        <w:t xml:space="preserve">十七、磋</w:t>
      </w:r>
      <w:r>
        <w:rPr>
          <w:rFonts w:hint="eastAsia" w:ascii="宋体" w:hAnsi="宋体" w:eastAsia="宋体" w:cs="宋体"/>
          <w:color w:val="auto"/>
          <w:sz w:val="24"/>
          <w:highlight w:val="none"/>
          <w:lang w:val="en-US" w:eastAsia="zh-CN"/>
        </w:rPr>
        <w:t xml:space="preserve">商过程中可能实质性变动的内容：在磋商过程中，磋商小组可以根据《磋商文件》和磋商情况实质性变动采购需求中的技术、服务要求以及合同草案条款。</w:t>
      </w:r>
      <w:r/>
    </w:p>
    <w:p>
      <w:pPr>
        <w:ind w:left="-2" w:right="29"/>
        <w:jc w:val="center"/>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lang w:val="en-US" w:eastAsia="zh-CN" w:bidi="ar-SA"/>
        </w:rPr>
        <w:t xml:space="preserve">第五章 确定成交供应商及合同签订等</w:t>
      </w:r>
      <w:r/>
    </w:p>
    <w:p>
      <w:pPr>
        <w:ind w:left="2" w:right="29"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二十</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采购人与成交供应商应当在成交通知书发出之日起30日内</w:t>
      </w:r>
      <w:r>
        <w:rPr>
          <w:rFonts w:hint="eastAsia" w:ascii="宋体" w:hAnsi="宋体" w:eastAsia="宋体" w:cs="宋体"/>
          <w:color w:val="auto"/>
          <w:sz w:val="24"/>
          <w:highlight w:val="none"/>
        </w:rPr>
        <w:t xml:space="preserve">，按照《磋商文件》确定的合同文本以及采购标的、规格型号、采购金额、采购数量、技术和服务要求等事项签订政府采购合同。</w:t>
      </w:r>
      <w:r/>
    </w:p>
    <w:p>
      <w:pPr>
        <w:ind w:firstLine="480"/>
        <w:jc w:val="left"/>
        <w:keepLines w:val="0"/>
        <w:keepNext w:val="0"/>
        <w:pageBreakBefore w:val="0"/>
        <w:spacing w:line="440" w:lineRule="exact"/>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二十</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、成交供应商在收到成交通知书时，须向</w:t>
      </w:r>
      <w:r>
        <w:rPr>
          <w:rFonts w:hint="eastAsia" w:ascii="宋体" w:hAnsi="宋体" w:cs="宋体"/>
          <w:color w:val="auto"/>
          <w:sz w:val="24"/>
          <w:highlight w:val="none"/>
          <w:u w:val="single"/>
          <w:lang w:eastAsia="zh-CN"/>
        </w:rPr>
        <w:t xml:space="preserve">江苏策聆建设管理有限公司</w:t>
      </w:r>
      <w:r>
        <w:rPr>
          <w:rFonts w:hint="eastAsia" w:ascii="宋体" w:hAnsi="宋体" w:eastAsia="宋体" w:cs="宋体"/>
          <w:color w:val="auto"/>
          <w:sz w:val="24"/>
          <w:highlight w:val="none"/>
        </w:rPr>
        <w:t xml:space="preserve">提交《磋商报价表》（首次响应文件）和《分项价格表》（首次响应文件）的数据文件（WORD格式）。</w:t>
      </w:r>
      <w:r/>
    </w:p>
    <w:p>
      <w:pPr>
        <w:ind w:firstLine="480"/>
        <w:jc w:val="left"/>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供应商应对响应文件的合法性、真实性负责。</w:t>
      </w:r>
      <w:r>
        <w:rPr>
          <w:rFonts w:hint="eastAsia" w:ascii="宋体" w:hAnsi="宋体" w:eastAsia="宋体" w:cs="宋体"/>
          <w:b/>
          <w:bCs/>
          <w:color w:val="auto"/>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ind w:left="-2" w:right="29"/>
        <w:jc w:val="center"/>
        <w:keepLines w:val="0"/>
        <w:keepNext w:val="0"/>
        <w:pageBreakBefore w:val="0"/>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第六章 磋商文件的澄清或者修改</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、《磋商文件》的澄清或者修改</w:t>
      </w:r>
      <w:r/>
    </w:p>
    <w:p>
      <w:pPr>
        <w:ind w:firstLine="480"/>
        <w:jc w:val="left"/>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2" w:right="29"/>
        <w:jc w:val="center"/>
        <w:keepLines w:val="0"/>
        <w:keepNext w:val="0"/>
        <w:pageBreakBefore w:val="0"/>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第七章 询问和质疑</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、询问和质疑</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2、质疑和投诉按《政府采购质疑和投诉办法》执行。</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3、供应商对同一采购程序环节的质疑应在质疑期内一次性提出。</w:t>
      </w:r>
      <w:r/>
    </w:p>
    <w:p>
      <w:pPr>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质疑接收人：</w:t>
      </w:r>
      <w:r>
        <w:rPr>
          <w:rFonts w:hint="eastAsia" w:ascii="宋体" w:hAnsi="宋体" w:cs="宋体"/>
          <w:color w:val="auto"/>
          <w:sz w:val="24"/>
          <w:highlight w:val="none"/>
          <w:lang w:val="en-US" w:eastAsia="zh-CN"/>
        </w:rPr>
        <w:t xml:space="preserve">陈雷</w:t>
      </w:r>
      <w:r>
        <w:rPr>
          <w:rFonts w:hint="eastAsia" w:ascii="宋体" w:hAnsi="宋体" w:eastAsia="宋体" w:cs="宋体"/>
          <w:color w:val="auto"/>
          <w:sz w:val="24"/>
          <w:highlight w:val="none"/>
        </w:rPr>
        <w:t xml:space="preserve">       联系电话：</w:t>
      </w:r>
      <w:r>
        <w:rPr>
          <w:rFonts w:hint="eastAsia" w:ascii="宋体" w:hAnsi="宋体" w:cs="宋体"/>
          <w:color w:val="auto"/>
          <w:sz w:val="24"/>
          <w:highlight w:val="none"/>
          <w:lang w:val="en-US" w:eastAsia="zh-CN"/>
        </w:rPr>
        <w:t xml:space="preserve">15162055599</w:t>
      </w:r>
      <w:r/>
    </w:p>
    <w:p>
      <w:pPr>
        <w:ind w:firstLine="480"/>
        <w:keepLines w:val="0"/>
        <w:keepNext w:val="0"/>
        <w:pageBreakBefore w:val="0"/>
        <w:spacing w:line="440" w:lineRule="exact"/>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val="en-US" w:eastAsia="zh-CN"/>
        </w:rPr>
        <w:t xml:space="preserve">徐州市云龙区中茵商务广场4号楼1-1022室</w:t>
      </w:r>
      <w:r/>
    </w:p>
    <w:p>
      <w:pPr>
        <w:ind w:firstLine="480"/>
        <w:jc w:val="left"/>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二十</w:t>
      </w:r>
      <w:r>
        <w:rPr>
          <w:rFonts w:hint="eastAsia" w:ascii="宋体" w:hAnsi="宋体"/>
          <w:color w:val="auto"/>
          <w:sz w:val="24"/>
          <w:szCs w:val="24"/>
          <w:highlight w:val="none"/>
        </w:rPr>
        <w:t xml:space="preserve">五</w:t>
      </w:r>
      <w:r>
        <w:rPr>
          <w:rFonts w:ascii="宋体" w:hAnsi="宋体"/>
          <w:color w:val="auto"/>
          <w:sz w:val="24"/>
          <w:szCs w:val="24"/>
          <w:highlight w:val="none"/>
        </w:rPr>
        <w:t xml:space="preserve">、成交供应商领取成交通知书时，</w:t>
      </w:r>
      <w:r>
        <w:rPr>
          <w:rFonts w:hint="eastAsia" w:ascii="宋体" w:hAnsi="宋体"/>
          <w:color w:val="auto"/>
          <w:sz w:val="24"/>
          <w:szCs w:val="24"/>
          <w:highlight w:val="none"/>
        </w:rPr>
        <w:t xml:space="preserve">提供纸质版响应文件一正</w:t>
      </w:r>
      <w:r>
        <w:rPr>
          <w:rFonts w:hint="eastAsia" w:ascii="宋体" w:hAnsi="宋体"/>
          <w:color w:val="auto"/>
          <w:sz w:val="24"/>
          <w:szCs w:val="24"/>
          <w:highlight w:val="none"/>
          <w:lang w:val="en-US" w:eastAsia="zh-CN"/>
        </w:rPr>
        <w:t xml:space="preserve">二</w:t>
      </w:r>
      <w:r>
        <w:rPr>
          <w:rFonts w:hint="eastAsia" w:ascii="宋体" w:hAnsi="宋体"/>
          <w:color w:val="auto"/>
          <w:sz w:val="24"/>
          <w:szCs w:val="24"/>
          <w:highlight w:val="none"/>
        </w:rPr>
        <w:t xml:space="preserve">副及电子响应文件（U</w:t>
      </w:r>
      <w:r>
        <w:rPr>
          <w:rFonts w:ascii="宋体" w:hAnsi="宋体"/>
          <w:color w:val="auto"/>
          <w:sz w:val="24"/>
          <w:szCs w:val="24"/>
          <w:highlight w:val="none"/>
        </w:rPr>
        <w:t xml:space="preserve">盘）</w:t>
      </w:r>
      <w:r>
        <w:rPr>
          <w:rFonts w:hint="eastAsia" w:ascii="宋体" w:hAnsi="宋体"/>
          <w:color w:val="auto"/>
          <w:sz w:val="24"/>
          <w:szCs w:val="24"/>
          <w:highlight w:val="none"/>
        </w:rPr>
        <w:t xml:space="preserve">。</w:t>
      </w:r>
      <w:r/>
    </w:p>
    <w:p>
      <w:pPr>
        <w:ind w:firstLine="480"/>
        <w:jc w:val="left"/>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二十</w:t>
      </w:r>
      <w:r>
        <w:rPr>
          <w:rFonts w:hint="eastAsia" w:ascii="宋体" w:hAnsi="宋体"/>
          <w:color w:val="auto"/>
          <w:sz w:val="24"/>
          <w:szCs w:val="24"/>
          <w:highlight w:val="none"/>
        </w:rPr>
        <w:t xml:space="preserve">六</w:t>
      </w:r>
      <w:r>
        <w:rPr>
          <w:rFonts w:ascii="宋体" w:hAnsi="宋体"/>
          <w:color w:val="auto"/>
          <w:sz w:val="24"/>
          <w:szCs w:val="24"/>
          <w:highlight w:val="none"/>
        </w:rPr>
        <w:t xml:space="preserve">、成交结果在徐州政府采购网上公布。</w:t>
      </w:r>
      <w:r/>
    </w:p>
    <w:p>
      <w:pPr>
        <w:pStyle w:val="1013"/>
        <w:jc w:val="both"/>
        <w:keepLines w:val="0"/>
        <w:keepNext w:val="0"/>
        <w:pageBreakBefore w:val="0"/>
        <w:spacing w:after="0" w:line="440" w:lineRule="exact"/>
        <w:rPr>
          <w:rFonts w:hint="eastAsia"/>
          <w:highlight w:val="none"/>
        </w:rPr>
      </w:pPr>
      <w:r>
        <w:rPr>
          <w:rFonts w:hint="eastAsia"/>
          <w:highlight w:val="none"/>
        </w:rPr>
      </w:r>
      <w:r/>
    </w:p>
    <w:p>
      <w:pPr>
        <w:ind w:left="-2" w:right="29"/>
        <w:jc w:val="center"/>
        <w:keepLines w:val="0"/>
        <w:keepNext w:val="0"/>
        <w:pageBreakBefore w:val="0"/>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第八章 其他</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1、代理服务费由</w:t>
      </w:r>
      <w:r>
        <w:rPr>
          <w:rFonts w:hint="eastAsia" w:ascii="宋体" w:hAnsi="宋体" w:eastAsia="宋体" w:cs="宋体"/>
          <w:color w:val="000000"/>
          <w:sz w:val="24"/>
          <w:highlight w:val="none"/>
          <w:lang w:val="en-US" w:eastAsia="zh-CN"/>
        </w:rPr>
        <w:t xml:space="preserve">采购</w:t>
      </w:r>
      <w:r>
        <w:rPr>
          <w:rFonts w:ascii="宋体" w:hAnsi="宋体" w:eastAsia="宋体" w:cs="宋体"/>
          <w:color w:val="000000"/>
          <w:sz w:val="24"/>
          <w:highlight w:val="none"/>
        </w:rPr>
        <w:t xml:space="preserve">人</w:t>
      </w:r>
      <w:r>
        <w:rPr>
          <w:rFonts w:hint="eastAsia" w:ascii="宋体" w:hAnsi="宋体" w:eastAsia="宋体" w:cs="宋体"/>
          <w:color w:val="auto"/>
          <w:sz w:val="24"/>
          <w:highlight w:val="none"/>
        </w:rPr>
        <w:t xml:space="preserve">向采购代理机构支付，收取标准见附件。</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2、成交结果在徐州政府采购网</w:t>
      </w:r>
      <w:r>
        <w:rPr>
          <w:rFonts w:hint="eastAsia" w:ascii="宋体" w:hAnsi="宋体" w:eastAsia="宋体" w:cs="宋体"/>
          <w:color w:val="auto"/>
          <w:sz w:val="24"/>
          <w:highlight w:val="none"/>
          <w:lang w:eastAsia="zh-CN"/>
        </w:rPr>
        <w:t xml:space="preserve">http://czj.xz.gov.cn/Home/HomeIndex</w:t>
      </w:r>
      <w:r>
        <w:rPr>
          <w:rFonts w:hint="eastAsia" w:ascii="宋体" w:hAnsi="宋体" w:eastAsia="宋体" w:cs="宋体"/>
          <w:color w:val="auto"/>
          <w:sz w:val="24"/>
          <w:highlight w:val="none"/>
        </w:rPr>
        <w:t xml:space="preserve">上公布。</w:t>
      </w:r>
      <w:r/>
    </w:p>
    <w:p>
      <w:pPr>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3、采购人：</w:t>
      </w:r>
      <w:r>
        <w:rPr>
          <w:rFonts w:hint="eastAsia" w:ascii="宋体" w:hAnsi="宋体" w:cs="宋体"/>
          <w:color w:val="auto"/>
          <w:sz w:val="24"/>
          <w:highlight w:val="none"/>
          <w:lang w:eastAsia="zh-CN"/>
        </w:rPr>
        <w:t xml:space="preserve">淮海战役烈士纪念塔管理中心</w:t>
      </w:r>
      <w:r/>
    </w:p>
    <w:p>
      <w:pPr>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徐州市解放南路2号</w:t>
      </w:r>
      <w:r/>
    </w:p>
    <w:p>
      <w:pPr>
        <w:ind w:firstLine="480"/>
        <w:keepLines w:val="0"/>
        <w:keepNext w:val="0"/>
        <w:pageBreakBefore w:val="0"/>
        <w:spacing w:line="440" w:lineRule="exact"/>
        <w:rPr>
          <w:rFonts w:hint="eastAsia" w:ascii="宋体" w:hAnsi="宋体" w:cs="宋体"/>
          <w:color w:val="0000ff"/>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吴宁   </w:t>
      </w:r>
      <w:r>
        <w:rPr>
          <w:rFonts w:hint="eastAsia" w:ascii="宋体" w:hAnsi="宋体" w:eastAsia="宋体" w:cs="宋体"/>
          <w:color w:val="auto"/>
          <w:sz w:val="24"/>
          <w:highlight w:val="none"/>
          <w:lang w:val="en-US" w:eastAsia="zh-CN"/>
        </w:rPr>
        <w:t xml:space="preserve">   联系电话：</w:t>
      </w:r>
      <w:r>
        <w:rPr>
          <w:rFonts w:hint="eastAsia" w:ascii="宋体" w:hAnsi="宋体" w:cs="宋体"/>
          <w:sz w:val="24"/>
          <w:highlight w:val="none"/>
          <w:lang w:eastAsia="zh-CN"/>
        </w:rPr>
        <w:t xml:space="preserve">19961996819</w:t>
      </w:r>
      <w:r>
        <w:rPr>
          <w:rFonts w:hint="eastAsia" w:ascii="宋体" w:hAnsi="宋体" w:cs="宋体"/>
          <w:color w:val="auto"/>
          <w:sz w:val="24"/>
          <w:highlight w:val="none"/>
          <w:lang w:val="en-US" w:eastAsia="zh-CN"/>
        </w:rPr>
        <w:t xml:space="preserve">    </w:t>
      </w:r>
      <w:r>
        <w:rPr>
          <w:rFonts w:hint="eastAsia" w:ascii="宋体" w:hAnsi="宋体" w:cs="宋体"/>
          <w:color w:val="0000ff"/>
          <w:sz w:val="24"/>
          <w:highlight w:val="none"/>
          <w:lang w:val="en-US" w:eastAsia="zh-CN"/>
        </w:rPr>
        <w:t xml:space="preserve"> </w:t>
      </w:r>
      <w:r/>
    </w:p>
    <w:p>
      <w:pPr>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4、采购代理公司：</w:t>
      </w:r>
      <w:r>
        <w:rPr>
          <w:rFonts w:hint="eastAsia" w:ascii="宋体" w:hAnsi="宋体" w:cs="宋体"/>
          <w:color w:val="auto"/>
          <w:sz w:val="24"/>
          <w:highlight w:val="none"/>
          <w:lang w:eastAsia="zh-CN"/>
        </w:rPr>
        <w:t xml:space="preserve">江苏策聆建设管理有限公司</w:t>
      </w:r>
      <w:r/>
    </w:p>
    <w:p>
      <w:pPr>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val="en-US" w:eastAsia="zh-CN"/>
        </w:rPr>
        <w:t xml:space="preserve">徐州市云龙区中茵商务广场4号楼1-1022室</w:t>
      </w:r>
      <w:r/>
    </w:p>
    <w:p>
      <w:pPr>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陈雷</w:t>
      </w:r>
      <w:r>
        <w:rPr>
          <w:rFonts w:hint="eastAsia" w:ascii="宋体" w:hAnsi="宋体" w:eastAsia="宋体" w:cs="宋体"/>
          <w:color w:val="auto"/>
          <w:sz w:val="24"/>
          <w:highlight w:val="none"/>
          <w:lang w:val="en-US" w:eastAsia="zh-CN"/>
        </w:rPr>
        <w:t xml:space="preserve">     联系电话</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15162055599</w:t>
      </w:r>
      <w:r/>
    </w:p>
    <w:p>
      <w:pPr>
        <w:pStyle w:val="103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0"/>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0"/>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0"/>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0"/>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0"/>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0"/>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jc w:val="both"/>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0"/>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0"/>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0"/>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w:t>
      </w:r>
      <w:r>
        <w:rPr>
          <w:rFonts w:hint="eastAsia" w:ascii="宋体" w:hAnsi="宋体" w:eastAsia="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章 附件</w:t>
      </w:r>
      <w:r/>
    </w:p>
    <w:p>
      <w:pPr>
        <w:jc w:val="center"/>
        <w:keepLines w:val="0"/>
        <w:keepNext w:val="0"/>
        <w:pageBreakBefore w:val="0"/>
        <w:spacing w:before="240" w:after="240" w:line="240" w:lineRule="auto"/>
        <w:widowControl/>
        <w:rPr>
          <w:rFonts w:ascii="宋体" w:hAnsi="宋体" w:cs="宋体"/>
          <w:color w:val="00000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sz w:val="24"/>
          <w:highlight w:val="none"/>
        </w:rPr>
        <w:t xml:space="preserve">（本章提供响应文件中的部分文件格式，不应被理解为包含了响应文件所需的全部资料）</w:t>
      </w:r>
      <w:r/>
    </w:p>
    <w:p>
      <w:pPr>
        <w:pStyle w:val="1000"/>
        <w:ind w:firstLine="472"/>
        <w:spacing w:line="360" w:lineRule="auto"/>
        <w:widowControl/>
        <w:rPr>
          <w:rFonts w:hint="eastAsia" w:ascii="宋体" w:hAnsi="宋体" w:cs="宋体"/>
          <w:b/>
          <w:sz w:val="24"/>
          <w:highlight w:val="none"/>
        </w:rPr>
      </w:pPr>
      <w:r>
        <w:rPr>
          <w:rFonts w:hint="eastAsia" w:ascii="宋体" w:hAnsi="宋体" w:cs="宋体"/>
          <w:b/>
          <w:sz w:val="24"/>
          <w:highlight w:val="none"/>
        </w:rPr>
        <w:t xml:space="preserve">附件：附后</w:t>
      </w:r>
      <w:r/>
    </w:p>
    <w:p>
      <w:pPr>
        <w:pStyle w:val="1000"/>
        <w:ind w:firstLine="480"/>
        <w:spacing w:line="360" w:lineRule="auto"/>
        <w:rPr>
          <w:rFonts w:hint="eastAsia" w:ascii="宋体" w:hAnsi="宋体" w:cs="宋体"/>
          <w:sz w:val="24"/>
          <w:highlight w:val="none"/>
        </w:rPr>
      </w:pPr>
      <w:r>
        <w:rPr>
          <w:rFonts w:hint="eastAsia" w:ascii="宋体" w:hAnsi="宋体" w:cs="宋体"/>
          <w:sz w:val="24"/>
          <w:highlight w:val="none"/>
        </w:rPr>
        <w:t xml:space="preserve">1、《评分细则》</w:t>
      </w:r>
      <w:r/>
    </w:p>
    <w:p>
      <w:pPr>
        <w:pStyle w:val="1000"/>
        <w:ind w:firstLine="480"/>
        <w:spacing w:line="360" w:lineRule="auto"/>
        <w:rPr>
          <w:rFonts w:hint="eastAsia" w:ascii="宋体" w:hAnsi="宋体" w:cs="宋体"/>
          <w:sz w:val="24"/>
          <w:highlight w:val="none"/>
        </w:rPr>
      </w:pPr>
      <w:r>
        <w:rPr>
          <w:rFonts w:hint="eastAsia" w:ascii="宋体" w:hAnsi="宋体" w:cs="宋体"/>
          <w:sz w:val="24"/>
          <w:highlight w:val="none"/>
        </w:rPr>
        <w:t xml:space="preserve">2、《项目要求（采购需求）》</w:t>
      </w:r>
      <w:r/>
    </w:p>
    <w:p>
      <w:pPr>
        <w:pStyle w:val="1000"/>
        <w:ind w:firstLine="480"/>
        <w:spacing w:line="360" w:lineRule="auto"/>
        <w:rPr>
          <w:rFonts w:hint="eastAsia" w:ascii="宋体" w:hAnsi="宋体" w:cs="宋体"/>
          <w:sz w:val="24"/>
          <w:highlight w:val="none"/>
        </w:rPr>
      </w:pPr>
      <w:r>
        <w:rPr>
          <w:rFonts w:hint="eastAsia" w:ascii="宋体" w:hAnsi="宋体" w:cs="宋体"/>
          <w:sz w:val="24"/>
          <w:highlight w:val="none"/>
        </w:rPr>
        <w:t xml:space="preserve">3、《磋商报价表》</w:t>
      </w:r>
      <w:r/>
    </w:p>
    <w:p>
      <w:pPr>
        <w:pStyle w:val="1000"/>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分项报价</w:t>
      </w:r>
      <w:r>
        <w:rPr>
          <w:rFonts w:hint="eastAsia" w:ascii="宋体" w:hAnsi="宋体" w:cs="宋体"/>
          <w:sz w:val="24"/>
          <w:highlight w:val="none"/>
        </w:rPr>
        <w:t xml:space="preserve">表》</w:t>
      </w:r>
      <w:r/>
    </w:p>
    <w:p>
      <w:pPr>
        <w:pStyle w:val="1000"/>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、《偏离表》</w:t>
      </w:r>
      <w:r/>
    </w:p>
    <w:p>
      <w:pPr>
        <w:pStyle w:val="1000"/>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、《承诺书》</w:t>
      </w:r>
      <w:r/>
    </w:p>
    <w:p>
      <w:pPr>
        <w:pStyle w:val="1000"/>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、《授权委托书》</w:t>
      </w:r>
      <w:r/>
    </w:p>
    <w:p>
      <w:pPr>
        <w:pStyle w:val="1000"/>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、《供应商参加政府采购活动前3年内在经营活动中没有重大违法记录的书面声明》</w:t>
      </w:r>
      <w:r/>
    </w:p>
    <w:p>
      <w:pPr>
        <w:pStyle w:val="1000"/>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 《具备履行合同所必需的设备和专业技术能力的书面声明》</w:t>
      </w:r>
      <w:r/>
    </w:p>
    <w:p>
      <w:pPr>
        <w:pStyle w:val="1000"/>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、《中小企业声明函》</w:t>
      </w:r>
      <w:r/>
    </w:p>
    <w:p>
      <w:pPr>
        <w:pStyle w:val="1000"/>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、《残疾人福利性单位声明函》</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、《合同草案条款》</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、《预付款保函支付条款模板</w:t>
      </w:r>
      <w:r>
        <w:rPr>
          <w:rFonts w:hint="eastAsia" w:ascii="宋体" w:hAnsi="宋体" w:cs="宋体"/>
          <w:color w:val="auto"/>
          <w:sz w:val="24"/>
          <w:highlight w:val="none"/>
        </w:rPr>
        <w:t xml:space="preserve">》</w:t>
      </w:r>
      <w:r/>
    </w:p>
    <w:p>
      <w:pPr>
        <w:pStyle w:val="1000"/>
        <w:ind w:firstLine="480"/>
        <w:spacing w:line="360" w:lineRule="auto"/>
        <w:rPr>
          <w:rFonts w:hint="eastAsia" w:ascii="宋体" w:hAnsi="宋体" w:cs="宋体"/>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、《代理服务收费标准》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2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2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2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2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2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2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2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27"/>
        <w:rPr>
          <w:rFonts w:hint="eastAsia"/>
          <w:highlight w:val="none"/>
        </w:rPr>
      </w:pPr>
      <w:r>
        <w:rPr>
          <w:rFonts w:hint="eastAsia"/>
          <w:highlight w:val="none"/>
        </w:rPr>
      </w:r>
      <w:r/>
    </w:p>
    <w:p>
      <w:pPr>
        <w:pStyle w:val="997"/>
        <w:numPr>
          <w:ilvl w:val="0"/>
          <w:numId w:val="3"/>
        </w:numPr>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评分细则</w:t>
      </w:r>
      <w:r/>
    </w:p>
    <w:tbl>
      <w:tblPr>
        <w:tblStyle w:val="992"/>
        <w:tblW w:w="104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4"/>
        <w:gridCol w:w="9004"/>
      </w:tblGrid>
      <w:tr>
        <w:trPr>
          <w:jc w:val="center"/>
          <w:trHeight w:val="397"/>
        </w:trPr>
        <w:tc>
          <w:tcPr>
            <w:tcW w:w="1454" w:type="dxa"/>
            <w:vAlign w:val="center"/>
            <w:textDirection w:val="lrTb"/>
            <w:noWrap w:val="false"/>
          </w:tcPr>
          <w:p>
            <w:pPr>
              <w:pStyle w:val="1249"/>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  目</w:t>
            </w:r>
            <w:r/>
          </w:p>
        </w:tc>
        <w:tc>
          <w:tcPr>
            <w:tcW w:w="9004" w:type="dxa"/>
            <w:vAlign w:val="center"/>
            <w:textDirection w:val="lrTb"/>
            <w:noWrap w:val="false"/>
          </w:tcPr>
          <w:p>
            <w:pPr>
              <w:pStyle w:val="1249"/>
              <w:ind w:firstLine="482"/>
              <w:jc w:val="center"/>
              <w:rPr>
                <w:rFonts w:hint="eastAsia" w:ascii="宋体" w:hAnsi="宋体" w:cs="宋体"/>
                <w:color w:val="000000"/>
                <w:sz w:val="24"/>
                <w:highlight w:val="none"/>
              </w:rPr>
            </w:pPr>
            <w:r>
              <w:rPr>
                <w:rFonts w:hint="eastAsia" w:ascii="宋体" w:hAnsi="宋体" w:cs="宋体"/>
                <w:color w:val="000000"/>
                <w:sz w:val="24"/>
                <w:highlight w:val="none"/>
              </w:rPr>
              <w:t xml:space="preserve">评 分 依 据</w:t>
            </w:r>
            <w:r/>
          </w:p>
        </w:tc>
      </w:tr>
      <w:tr>
        <w:trPr>
          <w:jc w:val="center"/>
          <w:trHeight w:val="1036"/>
        </w:trPr>
        <w:tc>
          <w:tcPr>
            <w:tcW w:w="1454" w:type="dxa"/>
            <w:vAlign w:val="center"/>
            <w:textDirection w:val="lrTb"/>
            <w:noWrap w:val="false"/>
          </w:tcPr>
          <w:p>
            <w:pPr>
              <w:pStyle w:val="1249"/>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价格</w:t>
            </w:r>
            <w:r/>
          </w:p>
          <w:p>
            <w:pPr>
              <w:pStyle w:val="1249"/>
              <w:ind w:firstLine="0"/>
              <w:jc w:val="center"/>
              <w:rPr>
                <w:rFonts w:hint="eastAsia" w:ascii="宋体" w:hAnsi="宋体" w:cs="宋体"/>
                <w:color w:val="ff0000"/>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0分)</w:t>
            </w:r>
            <w:r/>
          </w:p>
        </w:tc>
        <w:tc>
          <w:tcPr>
            <w:tcW w:w="9004"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t xml:space="preserve">采用低价优先法计算，即满足磋商文件要求且最后报价最低的供应商的价格为磋商基准价，其价格分为满分。</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磋商</w:t>
            </w:r>
            <w:r>
              <w:rPr>
                <w:rFonts w:hint="eastAsia" w:ascii="宋体" w:hAnsi="宋体" w:cs="宋体"/>
                <w:color w:val="000000"/>
                <w:sz w:val="24"/>
                <w:highlight w:val="none"/>
                <w:lang w:val="zh-CN"/>
              </w:rPr>
              <w:t xml:space="preserve">报价得分=</w:t>
            </w:r>
            <w:r>
              <w:rPr>
                <w:rFonts w:hint="eastAsia" w:ascii="宋体" w:hAnsi="宋体" w:cs="宋体"/>
                <w:color w:val="000000"/>
                <w:sz w:val="24"/>
                <w:highlight w:val="none"/>
              </w:rPr>
              <w:t xml:space="preserve">磋商</w:t>
            </w:r>
            <w:r>
              <w:rPr>
                <w:rFonts w:hint="eastAsia" w:ascii="宋体" w:hAnsi="宋体" w:cs="宋体"/>
                <w:color w:val="000000"/>
                <w:sz w:val="24"/>
                <w:highlight w:val="none"/>
                <w:lang w:val="zh-CN"/>
              </w:rPr>
              <w:t xml:space="preserve">基准价/</w:t>
            </w:r>
            <w:r>
              <w:rPr>
                <w:rFonts w:hint="eastAsia" w:ascii="宋体" w:hAnsi="宋体" w:cs="宋体"/>
                <w:color w:val="000000"/>
                <w:sz w:val="24"/>
                <w:highlight w:val="none"/>
              </w:rPr>
              <w:t xml:space="preserve">最后磋商</w:t>
            </w:r>
            <w:r>
              <w:rPr>
                <w:rFonts w:hint="eastAsia" w:ascii="宋体" w:hAnsi="宋体" w:cs="宋体"/>
                <w:color w:val="000000"/>
                <w:sz w:val="24"/>
                <w:highlight w:val="none"/>
                <w:lang w:val="zh-CN"/>
              </w:rPr>
              <w:t xml:space="preserve">报价×</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得分按四舍五入保留小数点后二位。</w:t>
            </w:r>
            <w:r/>
          </w:p>
        </w:tc>
      </w:tr>
      <w:tr>
        <w:trPr>
          <w:cantSplit/>
          <w:jc w:val="center"/>
          <w:trHeight w:val="1039"/>
        </w:trPr>
        <w:tc>
          <w:tcPr>
            <w:tcW w:w="1454" w:type="dxa"/>
            <w:vAlign w:val="center"/>
            <w:textDirection w:val="lrTb"/>
            <w:noWrap w:val="false"/>
          </w:tcPr>
          <w:p>
            <w:pPr>
              <w:jc w:val="center"/>
              <w:tabs>
                <w:tab w:val="left" w:pos="6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供应商业绩（4分）</w:t>
            </w:r>
            <w:r/>
          </w:p>
        </w:tc>
        <w:tc>
          <w:tcPr>
            <w:tcW w:w="9004" w:type="dxa"/>
            <w:vAlign w:val="center"/>
            <w:textDirection w:val="lrTb"/>
            <w:noWrap w:val="false"/>
          </w:tcPr>
          <w:p>
            <w:pPr>
              <w:pStyle w:val="993"/>
              <w:ind w:left="0"/>
              <w:spacing w:after="0"/>
              <w:rPr>
                <w:rFonts w:hint="eastAsia" w:ascii="宋体" w:hAnsi="宋体" w:cs="宋体"/>
                <w:color w:val="000000"/>
                <w:sz w:val="24"/>
                <w:highlight w:val="none"/>
              </w:rPr>
            </w:pPr>
            <w:r>
              <w:rPr>
                <w:rFonts w:hint="eastAsia" w:ascii="宋体" w:hAnsi="宋体" w:cs="宋体"/>
                <w:color w:val="000000"/>
                <w:sz w:val="24"/>
                <w:highlight w:val="none"/>
              </w:rPr>
              <w:t xml:space="preserve">供应商自2022年</w:t>
            </w: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月1日以来承担过相同或类似工程的，每个得2分，本项最高得4分。</w:t>
            </w:r>
            <w:r/>
          </w:p>
          <w:p>
            <w:pPr>
              <w:pStyle w:val="993"/>
              <w:ind w:left="0"/>
              <w:spacing w:after="0"/>
              <w:rPr>
                <w:rFonts w:hint="eastAsia" w:ascii="宋体" w:hAnsi="宋体" w:cs="宋体"/>
                <w:color w:val="000000"/>
                <w:sz w:val="24"/>
                <w:highlight w:val="none"/>
              </w:rPr>
            </w:pPr>
            <w:r>
              <w:rPr>
                <w:rFonts w:hint="eastAsia" w:ascii="宋体" w:hAnsi="宋体" w:cs="宋体"/>
                <w:color w:val="000000"/>
                <w:sz w:val="24"/>
                <w:highlight w:val="none"/>
              </w:rPr>
              <w:t xml:space="preserve">证明材料以施工合同、中标（成交）通知书、竣工验收证明为准（三者须同时具备，时间以竣工验收证明为准）。</w:t>
            </w:r>
            <w:r/>
          </w:p>
          <w:p>
            <w:pPr>
              <w:pStyle w:val="993"/>
              <w:ind w:left="0"/>
              <w:spacing w:after="0"/>
              <w:rPr>
                <w:rFonts w:hint="eastAsia" w:ascii="宋体" w:hAnsi="宋体" w:cs="宋体"/>
                <w:color w:val="000000"/>
                <w:sz w:val="24"/>
                <w:highlight w:val="none"/>
              </w:rPr>
            </w:pPr>
            <w:r>
              <w:rPr>
                <w:rFonts w:hint="eastAsia" w:ascii="宋体" w:hAnsi="宋体" w:cs="宋体"/>
                <w:b/>
                <w:bCs/>
                <w:color w:val="000000"/>
                <w:sz w:val="24"/>
                <w:highlight w:val="none"/>
              </w:rPr>
              <w:t xml:space="preserve">响应文件中提供业绩证明材料扫描件并加盖供应商公章方为有效。</w:t>
            </w:r>
            <w:r/>
          </w:p>
        </w:tc>
      </w:tr>
      <w:tr>
        <w:trPr>
          <w:cantSplit/>
          <w:jc w:val="center"/>
          <w:trHeight w:val="513"/>
        </w:trPr>
        <w:tc>
          <w:tcPr>
            <w:tcW w:w="1454" w:type="dxa"/>
            <w:vAlign w:val="center"/>
            <w:vMerge w:val="restart"/>
            <w:textDirection w:val="lrTb"/>
            <w:noWrap w:val="false"/>
          </w:tcPr>
          <w:p>
            <w:pPr>
              <w:pStyle w:val="1249"/>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施工组织</w:t>
            </w:r>
            <w:r/>
          </w:p>
          <w:p>
            <w:pPr>
              <w:pStyle w:val="1249"/>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设计（8</w:t>
            </w:r>
            <w:r>
              <w:rPr>
                <w:rFonts w:hint="eastAsia" w:ascii="宋体" w:hAnsi="宋体" w:cs="宋体"/>
                <w:color w:val="000000"/>
                <w:sz w:val="24"/>
                <w:highlight w:val="none"/>
              </w:rPr>
              <w:t xml:space="preserve">6分）</w:t>
            </w:r>
            <w:r/>
          </w:p>
        </w:tc>
        <w:tc>
          <w:tcPr>
            <w:tcW w:w="9004"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t xml:space="preserve">1、总体概述（</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根据响应文件中施工组织总体设想，对方案全面性、针对性进行综合评价。</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面详实</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针对性强的得</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分；较全面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针对性较强的得</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分；基本具备的得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分；不太全面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欠缺针对性的得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rPr>
                <w:rFonts w:hint="eastAsia" w:ascii="宋体" w:hAnsi="宋体" w:cs="宋体"/>
                <w:color w:val="000000"/>
                <w:sz w:val="24"/>
                <w:highlight w:val="none"/>
              </w:rPr>
            </w:pPr>
            <w:r>
              <w:rPr>
                <w:rFonts w:hint="eastAsia" w:ascii="宋体" w:hAnsi="宋体" w:cs="宋体"/>
                <w:b/>
                <w:bCs/>
                <w:color w:val="000000"/>
                <w:sz w:val="24"/>
                <w:highlight w:val="none"/>
              </w:rPr>
              <w:t xml:space="preserve">最高得</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rPr>
              <w:t xml:space="preserve">分，未提供的不得分。</w:t>
            </w:r>
            <w:r/>
          </w:p>
        </w:tc>
      </w:tr>
      <w:tr>
        <w:trPr>
          <w:cantSplit/>
          <w:jc w:val="center"/>
          <w:trHeight w:val="593"/>
        </w:trPr>
        <w:tc>
          <w:tcPr>
            <w:tcW w:w="1454" w:type="dxa"/>
            <w:vAlign w:val="center"/>
            <w:vMerge w:val="continue"/>
            <w:textDirection w:val="lrTb"/>
            <w:noWrap w:val="false"/>
          </w:tcPr>
          <w:p>
            <w:pPr>
              <w:pStyle w:val="1249"/>
              <w:ind w:firstLine="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004"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t xml:space="preserve">2、施工进度计划和各阶段进度的保证措施（10分）</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根据响应文件中施工进度计划和各阶段进度的保证措施，对方案全面性、针对性进行综合评价</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面详实</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针对性强的得</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分；较全面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针对性较强的得</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分；基本具备的得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分；不太全面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欠缺针对性的得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rPr>
                <w:rFonts w:hint="eastAsia" w:ascii="宋体" w:hAnsi="宋体" w:cs="宋体"/>
                <w:color w:val="000000"/>
                <w:sz w:val="24"/>
                <w:highlight w:val="none"/>
              </w:rPr>
            </w:pPr>
            <w:r>
              <w:rPr>
                <w:rFonts w:hint="eastAsia" w:ascii="宋体" w:hAnsi="宋体" w:cs="宋体"/>
                <w:b/>
                <w:bCs/>
                <w:color w:val="000000"/>
                <w:sz w:val="24"/>
                <w:highlight w:val="none"/>
              </w:rPr>
              <w:t xml:space="preserve">最高得10分，未提供的不得分。</w:t>
            </w:r>
            <w:r/>
          </w:p>
        </w:tc>
      </w:tr>
      <w:tr>
        <w:trPr>
          <w:cantSplit/>
          <w:jc w:val="center"/>
          <w:trHeight w:val="445"/>
        </w:trPr>
        <w:tc>
          <w:tcPr>
            <w:tcW w:w="1454" w:type="dxa"/>
            <w:vAlign w:val="center"/>
            <w:vMerge w:val="continue"/>
            <w:textDirection w:val="lrTb"/>
            <w:noWrap w:val="false"/>
          </w:tcPr>
          <w:p>
            <w:pPr>
              <w:pStyle w:val="1249"/>
              <w:ind w:firstLine="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004"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t xml:space="preserve">3、施工方案及质量保证措施（10分）</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根据响应文件中施工方案及质量保证措施，对方案全面性、针对性进行综合评价</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面详实</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针对性强的得</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分；较全面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针对性较强的得</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分；基本具备的得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分；不太全面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欠缺针对性的得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rPr>
                <w:rFonts w:hint="eastAsia" w:ascii="宋体" w:hAnsi="宋体" w:cs="宋体"/>
                <w:color w:val="000000"/>
                <w:sz w:val="24"/>
                <w:highlight w:val="none"/>
              </w:rPr>
            </w:pPr>
            <w:r>
              <w:rPr>
                <w:rFonts w:hint="eastAsia" w:ascii="宋体" w:hAnsi="宋体" w:cs="宋体"/>
                <w:b/>
                <w:bCs/>
                <w:color w:val="000000"/>
                <w:sz w:val="24"/>
                <w:highlight w:val="none"/>
              </w:rPr>
              <w:t xml:space="preserve">最高得10分，未提供的不得分。</w:t>
            </w:r>
            <w:r/>
          </w:p>
        </w:tc>
      </w:tr>
      <w:tr>
        <w:trPr>
          <w:cantSplit/>
          <w:jc w:val="center"/>
          <w:trHeight w:val="639"/>
        </w:trPr>
        <w:tc>
          <w:tcPr>
            <w:tcW w:w="1454" w:type="dxa"/>
            <w:vAlign w:val="center"/>
            <w:vMerge w:val="continue"/>
            <w:textDirection w:val="lrTb"/>
            <w:noWrap w:val="false"/>
          </w:tcPr>
          <w:p>
            <w:pPr>
              <w:pStyle w:val="1249"/>
              <w:ind w:firstLine="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004"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t xml:space="preserve">4、项目管理班子人员管理（10分）</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根据响应文件中项目管理班子人员管理，对方案全面性、针对性进行综合评价</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面详实</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针对性强的得</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分；较全面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针对性较强的得</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分；基本具备的得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分；不太全面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欠缺针对性的得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rPr>
                <w:rFonts w:hint="eastAsia" w:ascii="宋体" w:hAnsi="宋体" w:cs="宋体"/>
                <w:color w:val="000000"/>
                <w:sz w:val="24"/>
                <w:highlight w:val="none"/>
              </w:rPr>
            </w:pPr>
            <w:r>
              <w:rPr>
                <w:rFonts w:hint="eastAsia" w:ascii="宋体" w:hAnsi="宋体" w:cs="宋体"/>
                <w:b/>
                <w:bCs/>
                <w:color w:val="000000"/>
                <w:sz w:val="24"/>
                <w:highlight w:val="none"/>
              </w:rPr>
              <w:t xml:space="preserve">最高得10分，未提供的不得分。</w:t>
            </w:r>
            <w:r/>
          </w:p>
        </w:tc>
      </w:tr>
      <w:tr>
        <w:trPr>
          <w:cantSplit/>
          <w:jc w:val="center"/>
          <w:trHeight w:val="639"/>
        </w:trPr>
        <w:tc>
          <w:tcPr>
            <w:tcW w:w="1454" w:type="dxa"/>
            <w:vAlign w:val="center"/>
            <w:vMerge w:val="continue"/>
            <w:textDirection w:val="lrTb"/>
            <w:noWrap w:val="false"/>
          </w:tcPr>
          <w:p>
            <w:pPr>
              <w:pStyle w:val="1249"/>
              <w:ind w:firstLine="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004"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t xml:space="preserve">5、关键施工技术、工艺及工程项目实施的重点、难点和解决方案（10分）</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根据响应文件中关键施工技术、工艺及工程项目实施的重点、难点和解决方案，对方案全面性、针对性进行综合评价</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面详实</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针对性强的得</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分；较全面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针对性较强的得</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分；基本具备的得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分；不太全面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欠缺针对性的得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rPr>
                <w:rFonts w:hint="eastAsia" w:ascii="宋体" w:hAnsi="宋体" w:cs="宋体"/>
                <w:color w:val="000000"/>
                <w:sz w:val="24"/>
                <w:highlight w:val="none"/>
              </w:rPr>
            </w:pPr>
            <w:r>
              <w:rPr>
                <w:rFonts w:hint="eastAsia" w:ascii="宋体" w:hAnsi="宋体" w:cs="宋体"/>
                <w:b/>
                <w:bCs/>
                <w:color w:val="000000"/>
                <w:sz w:val="24"/>
                <w:highlight w:val="none"/>
              </w:rPr>
              <w:t xml:space="preserve">最高得10分，未提供的不得分。</w:t>
            </w:r>
            <w:r/>
          </w:p>
        </w:tc>
      </w:tr>
      <w:tr>
        <w:trPr>
          <w:cantSplit/>
          <w:jc w:val="center"/>
          <w:trHeight w:val="1565"/>
        </w:trPr>
        <w:tc>
          <w:tcPr>
            <w:tcW w:w="1454" w:type="dxa"/>
            <w:vAlign w:val="center"/>
            <w:vMerge w:val="continue"/>
            <w:textDirection w:val="lrTb"/>
            <w:noWrap w:val="false"/>
          </w:tcPr>
          <w:p>
            <w:pPr>
              <w:pStyle w:val="1249"/>
              <w:ind w:firstLine="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004"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t xml:space="preserve">6、安全文明施工方案（10分）</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根据响应文件中安全文明施工方案，对方案全面性、针对性进行综合评价</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面详实</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针对性强的得</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分；较全面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针对性较强的得</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分；基本具备的得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分；不太全面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欠缺针对性的得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rPr>
                <w:rFonts w:hint="eastAsia" w:ascii="宋体" w:hAnsi="宋体" w:cs="宋体"/>
                <w:color w:val="000000"/>
                <w:sz w:val="24"/>
                <w:highlight w:val="none"/>
              </w:rPr>
            </w:pPr>
            <w:r>
              <w:rPr>
                <w:rFonts w:hint="eastAsia" w:ascii="宋体" w:hAnsi="宋体" w:cs="宋体"/>
                <w:b/>
                <w:bCs/>
                <w:color w:val="000000"/>
                <w:sz w:val="24"/>
                <w:highlight w:val="none"/>
              </w:rPr>
              <w:t xml:space="preserve">最高得10分，未提供的不得分。</w:t>
            </w:r>
            <w:r/>
          </w:p>
        </w:tc>
      </w:tr>
      <w:tr>
        <w:trPr>
          <w:cantSplit/>
          <w:jc w:val="center"/>
          <w:trHeight w:val="639"/>
        </w:trPr>
        <w:tc>
          <w:tcPr>
            <w:tcW w:w="1454" w:type="dxa"/>
            <w:vAlign w:val="center"/>
            <w:vMerge w:val="continue"/>
            <w:textDirection w:val="lrTb"/>
            <w:noWrap w:val="false"/>
          </w:tcPr>
          <w:p>
            <w:pPr>
              <w:pStyle w:val="1249"/>
              <w:ind w:firstLine="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004"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t xml:space="preserve">7、劳动力、机械设备和材料投入（6分）</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根据响应文件中劳动力、机械设备和材料投入，对方案全面性、针对性进行综合评价</w:t>
            </w:r>
            <w:r/>
          </w:p>
          <w:p>
            <w:pP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全面详实</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针对性强的得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分；较全面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针对性较强的得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分；基本具备的得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分；不太全面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欠缺针对性的得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p>
          <w:p>
            <w:pPr>
              <w:rPr>
                <w:rFonts w:hint="eastAsia" w:ascii="宋体" w:hAnsi="宋体" w:cs="宋体"/>
                <w:color w:val="000000"/>
                <w:sz w:val="24"/>
                <w:highlight w:val="none"/>
              </w:rPr>
            </w:pPr>
            <w:r>
              <w:rPr>
                <w:rFonts w:hint="eastAsia" w:ascii="宋体" w:hAnsi="宋体" w:cs="宋体"/>
                <w:b/>
                <w:bCs/>
                <w:color w:val="000000"/>
                <w:sz w:val="24"/>
                <w:highlight w:val="none"/>
              </w:rPr>
              <w:t xml:space="preserve">最高得6分，未提供的不得分。</w:t>
            </w:r>
            <w:r/>
          </w:p>
        </w:tc>
      </w:tr>
      <w:tr>
        <w:trPr>
          <w:cantSplit/>
          <w:jc w:val="center"/>
          <w:trHeight w:val="639"/>
        </w:trPr>
        <w:tc>
          <w:tcPr>
            <w:tcW w:w="1454" w:type="dxa"/>
            <w:vAlign w:val="center"/>
            <w:vMerge w:val="continue"/>
            <w:textDirection w:val="lrTb"/>
            <w:noWrap w:val="false"/>
          </w:tcPr>
          <w:p>
            <w:pPr>
              <w:pStyle w:val="1249"/>
              <w:ind w:firstLine="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004"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t xml:space="preserve">8、现场配合服务方案（</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根据响应文件中现场配合服务方案，对方案全面性、针对性进行综合评价</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面详实</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针对性强的得</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分；较全面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针对性较强的得</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分；基本具备的得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分；不太全面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欠缺针对性的得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rPr>
                <w:rFonts w:hint="eastAsia" w:ascii="宋体" w:hAnsi="宋体" w:cs="宋体"/>
                <w:color w:val="000000"/>
                <w:sz w:val="24"/>
                <w:highlight w:val="none"/>
              </w:rPr>
            </w:pPr>
            <w:r>
              <w:rPr>
                <w:rFonts w:hint="eastAsia" w:ascii="宋体" w:hAnsi="宋体" w:cs="宋体"/>
                <w:b/>
                <w:bCs/>
                <w:color w:val="000000"/>
                <w:sz w:val="24"/>
                <w:highlight w:val="none"/>
              </w:rPr>
              <w:t xml:space="preserve">最高得</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rPr>
              <w:t xml:space="preserve">分，未提供的不得分。</w:t>
            </w:r>
            <w:r/>
          </w:p>
        </w:tc>
      </w:tr>
      <w:tr>
        <w:trPr>
          <w:cantSplit/>
          <w:jc w:val="center"/>
          <w:trHeight w:val="639"/>
        </w:trPr>
        <w:tc>
          <w:tcPr>
            <w:tcW w:w="1454" w:type="dxa"/>
            <w:vAlign w:val="center"/>
            <w:vMerge w:val="restart"/>
            <w:textDirection w:val="lrTb"/>
            <w:noWrap w:val="false"/>
          </w:tcPr>
          <w:p>
            <w:pPr>
              <w:pStyle w:val="1249"/>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售后服务</w:t>
            </w:r>
            <w:r/>
          </w:p>
          <w:p>
            <w:pPr>
              <w:pStyle w:val="1249"/>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方案</w:t>
            </w:r>
            <w:r/>
          </w:p>
          <w:p>
            <w:pPr>
              <w:pStyle w:val="1249"/>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（10分）</w:t>
            </w:r>
            <w:r/>
          </w:p>
        </w:tc>
        <w:tc>
          <w:tcPr>
            <w:tcW w:w="9004"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t xml:space="preserve">依据响应文件中的售后服务方案（包含缺陷责任期内的服务方案和缺陷责任期外的服务方案）进行综合评分。</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面详实</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针对性强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符合实际切实可行的得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分；较全面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针对性较强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较切实可行的得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分；基本具备的得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分；不太全面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欠缺针对性</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可行性欠缺的得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rPr>
                <w:rFonts w:hint="eastAsia" w:ascii="宋体" w:hAnsi="宋体" w:cs="宋体"/>
                <w:color w:val="000000"/>
                <w:sz w:val="24"/>
                <w:highlight w:val="none"/>
              </w:rPr>
            </w:pPr>
            <w:r>
              <w:rPr>
                <w:rFonts w:hint="eastAsia" w:ascii="宋体" w:hAnsi="宋体" w:cs="宋体"/>
                <w:b/>
                <w:bCs/>
                <w:color w:val="000000"/>
                <w:sz w:val="24"/>
                <w:highlight w:val="none"/>
              </w:rPr>
              <w:t xml:space="preserve">最高得6分，未提供的不得分。</w:t>
            </w:r>
            <w:r/>
          </w:p>
        </w:tc>
      </w:tr>
      <w:tr>
        <w:trPr>
          <w:cantSplit/>
          <w:jc w:val="center"/>
          <w:trHeight w:val="639"/>
        </w:trPr>
        <w:tc>
          <w:tcPr>
            <w:tcW w:w="1454" w:type="dxa"/>
            <w:vAlign w:val="center"/>
            <w:vMerge w:val="continue"/>
            <w:textDirection w:val="lrTb"/>
            <w:noWrap w:val="false"/>
          </w:tcPr>
          <w:p>
            <w:pPr>
              <w:pStyle w:val="1249"/>
              <w:ind w:firstLine="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004" w:type="dxa"/>
            <w:vAlign w:val="center"/>
            <w:textDirection w:val="lrTb"/>
            <w:noWrap w:val="false"/>
          </w:tcPr>
          <w:p>
            <w:pPr>
              <w:rPr>
                <w:rFonts w:hint="eastAsia" w:ascii="宋体" w:hAnsi="宋体" w:cs="宋体"/>
                <w:color w:val="000000"/>
                <w:sz w:val="24"/>
                <w:highlight w:val="none"/>
              </w:rPr>
            </w:pPr>
            <w:r>
              <w:rPr>
                <w:rFonts w:hint="eastAsia" w:ascii="宋体" w:hAnsi="宋体" w:cs="宋体"/>
                <w:sz w:val="24"/>
                <w:highlight w:val="none"/>
              </w:rPr>
              <w:t xml:space="preserve">工程整体免费质保期</w:t>
            </w:r>
            <w:r>
              <w:rPr>
                <w:rFonts w:hint="eastAsia" w:ascii="宋体" w:hAnsi="宋体" w:cs="宋体"/>
                <w:sz w:val="24"/>
                <w:highlight w:val="none"/>
                <w:lang w:val="en-US" w:eastAsia="zh-CN"/>
              </w:rPr>
              <w:t xml:space="preserve">2年</w:t>
            </w:r>
            <w:r>
              <w:rPr>
                <w:rFonts w:hint="eastAsia" w:ascii="宋体" w:hAnsi="宋体" w:cs="宋体"/>
                <w:sz w:val="24"/>
                <w:highlight w:val="none"/>
              </w:rPr>
              <w:t xml:space="preserve">，满足招标文件要求不得分，每增加1年加得2分，最高得4分，最低得0分。</w:t>
            </w:r>
            <w:r/>
          </w:p>
        </w:tc>
      </w:tr>
    </w:tbl>
    <w:p>
      <w:pPr>
        <w:pStyle w:val="1008"/>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本章说明：本项目采用综合评分法。</w:t>
      </w:r>
      <w:r/>
    </w:p>
    <w:p>
      <w:pPr>
        <w:pStyle w:val="1019"/>
        <w:ind w:left="0" w:firstLine="0"/>
        <w:rPr>
          <w:rFonts w:hint="eastAsia" w:ascii="宋体" w:hAnsi="宋体" w:eastAsia="宋体" w:cs="宋体"/>
          <w:color w:val="auto"/>
          <w:sz w:val="24"/>
          <w:szCs w:val="22"/>
          <w:highlight w:val="none"/>
        </w:rPr>
        <w:sectPr>
          <w:headerReference w:type="default" r:id="rId9"/>
          <w:footerReference w:type="default" r:id="rId16"/>
          <w:footnotePr/>
          <w:endnotePr/>
          <w:type w:val="nextPage"/>
          <w:pgSz w:w="11907" w:h="16839" w:orient="portrait"/>
          <w:pgMar w:top="1440" w:right="1800" w:bottom="1440" w:left="1800" w:header="1286" w:footer="996" w:gutter="0"/>
          <w:pgNumType w:start="1"/>
          <w:cols w:num="1" w:sep="0" w:space="720" w:equalWidth="1"/>
          <w:docGrid w:linePitch="360"/>
        </w:sectPr>
      </w:pPr>
      <w:r>
        <w:rPr>
          <w:rFonts w:hint="eastAsia" w:ascii="宋体" w:hAnsi="宋体" w:eastAsia="宋体" w:cs="宋体"/>
          <w:color w:val="auto"/>
          <w:sz w:val="24"/>
          <w:szCs w:val="22"/>
          <w:highlight w:val="none"/>
        </w:rPr>
        <w:t xml:space="preserve">（供应商技术部分得分取所有评委的平均值，保留小数点后</w:t>
      </w:r>
      <w:r>
        <w:rPr>
          <w:rFonts w:hint="eastAsia" w:ascii="宋体" w:hAnsi="宋体" w:eastAsia="宋体" w:cs="宋体"/>
          <w:color w:val="auto"/>
          <w:sz w:val="24"/>
          <w:szCs w:val="22"/>
          <w:highlight w:val="none"/>
          <w:lang w:val="en-US" w:eastAsia="zh-CN"/>
        </w:rPr>
        <w:t xml:space="preserve">两</w:t>
      </w:r>
      <w:r>
        <w:rPr>
          <w:rFonts w:hint="eastAsia" w:ascii="宋体" w:hAnsi="宋体" w:eastAsia="宋体" w:cs="宋体"/>
          <w:color w:val="auto"/>
          <w:sz w:val="24"/>
          <w:szCs w:val="22"/>
          <w:highlight w:val="none"/>
        </w:rPr>
        <w:t xml:space="preserve">位）</w:t>
      </w:r>
      <w:r/>
    </w:p>
    <w:p>
      <w:pPr>
        <w:pStyle w:val="1000"/>
        <w:numPr>
          <w:ilvl w:val="0"/>
          <w:numId w:val="0"/>
        </w:numPr>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val="en-US" w:eastAsia="zh-CN"/>
        </w:rPr>
        <w:t xml:space="preserve">2、项目要求（采购需求）</w:t>
      </w:r>
      <w:r/>
    </w:p>
    <w:p>
      <w:pPr>
        <w:pStyle w:val="1252"/>
        <w:keepLines w:val="0"/>
        <w:keepNext w:val="0"/>
        <w:pageBreakBefore w:val="0"/>
        <w:spacing w:line="440" w:lineRule="exact"/>
        <w:rPr>
          <w:rFonts w:ascii="宋体" w:hAnsi="宋体"/>
          <w:b/>
          <w:color w:val="000000"/>
          <w:sz w:val="24"/>
          <w:highlight w:val="none"/>
        </w:rPr>
        <w:outlineLvl w:val="9"/>
      </w:pPr>
      <w:r>
        <w:rPr>
          <w:rFonts w:ascii="宋体" w:hAnsi="宋体"/>
          <w:b/>
          <w:color w:val="000000"/>
          <w:sz w:val="24"/>
          <w:highlight w:val="none"/>
        </w:rPr>
        <w:t xml:space="preserve">一、采购预算  </w:t>
      </w:r>
      <w:r/>
    </w:p>
    <w:p>
      <w:pPr>
        <w:pStyle w:val="1003"/>
        <w:ind w:firstLine="480"/>
        <w:keepLines w:val="0"/>
        <w:keepNext w:val="0"/>
        <w:pageBreakBefore w:val="0"/>
        <w:spacing w:line="440" w:lineRule="exact"/>
        <w:rPr>
          <w:rFonts w:hint="eastAsia" w:ascii="宋体" w:hAnsi="宋体" w:eastAsia="宋体" w:cs="Times New Roman"/>
          <w:color w:val="000000"/>
          <w:sz w:val="24"/>
          <w:szCs w:val="24"/>
          <w:highlight w:val="none"/>
          <w:lang w:val="en-US" w:eastAsia="zh-CN" w:bidi="ar-SA"/>
        </w:rPr>
        <w:outlineLvl w:val="9"/>
      </w:pPr>
      <w:r>
        <w:rPr>
          <w:rFonts w:hint="eastAsia" w:ascii="宋体" w:hAnsi="宋体" w:eastAsia="宋体" w:cs="Times New Roman"/>
          <w:color w:val="000000"/>
          <w:sz w:val="24"/>
          <w:szCs w:val="24"/>
          <w:highlight w:val="none"/>
          <w:lang w:val="en-US" w:eastAsia="zh-CN" w:bidi="ar-SA"/>
        </w:rPr>
        <w:t xml:space="preserve">本项目不接受超过总价</w:t>
      </w:r>
      <w:r>
        <w:rPr>
          <w:rFonts w:hint="eastAsia" w:ascii="宋体" w:hAnsi="宋体" w:eastAsia="宋体" w:cs="Times New Roman"/>
          <w:b/>
          <w:bCs/>
          <w:color w:val="000000"/>
          <w:sz w:val="24"/>
          <w:szCs w:val="24"/>
          <w:highlight w:val="none"/>
          <w:u w:val="single"/>
          <w:lang w:val="en-US" w:eastAsia="zh-CN" w:bidi="ar-SA"/>
        </w:rPr>
        <w:t xml:space="preserve"> 3026700元</w:t>
      </w:r>
      <w:r>
        <w:rPr>
          <w:rFonts w:hint="eastAsia" w:ascii="宋体" w:hAnsi="宋体" w:eastAsia="宋体" w:cs="Times New Roman"/>
          <w:color w:val="000000"/>
          <w:sz w:val="24"/>
          <w:szCs w:val="24"/>
          <w:highlight w:val="none"/>
          <w:lang w:val="en-US" w:eastAsia="zh-CN" w:bidi="ar-SA"/>
        </w:rPr>
        <w:t xml:space="preserve">人民币的报价。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p>
    <w:p>
      <w:pPr>
        <w:pStyle w:val="1252"/>
        <w:keepLines w:val="0"/>
        <w:keepNext w:val="0"/>
        <w:pageBreakBefore w:val="0"/>
        <w:spacing w:line="440" w:lineRule="exact"/>
        <w:rPr>
          <w:rFonts w:ascii="宋体" w:hAnsi="宋体"/>
          <w:b/>
          <w:color w:val="000000"/>
          <w:sz w:val="24"/>
          <w:highlight w:val="none"/>
        </w:rPr>
        <w:outlineLvl w:val="9"/>
      </w:pPr>
      <w:r>
        <w:rPr>
          <w:rFonts w:ascii="宋体" w:hAnsi="宋体"/>
          <w:b/>
          <w:color w:val="000000"/>
          <w:sz w:val="24"/>
          <w:highlight w:val="none"/>
        </w:rPr>
        <w:t xml:space="preserve">二、项目概况：</w:t>
      </w:r>
      <w:r/>
    </w:p>
    <w:p>
      <w:pPr>
        <w:pStyle w:val="1252"/>
        <w:ind w:firstLine="480"/>
        <w:keepLines w:val="0"/>
        <w:keepNext w:val="0"/>
        <w:pageBreakBefore w:val="0"/>
        <w:spacing w:line="440" w:lineRule="exact"/>
        <w:rPr>
          <w:rFonts w:ascii="宋体" w:hAnsi="宋体"/>
          <w:color w:val="000000"/>
          <w:sz w:val="24"/>
          <w:highlight w:val="none"/>
        </w:rPr>
        <w:outlineLvl w:val="9"/>
      </w:pPr>
      <w:r>
        <w:rPr>
          <w:rFonts w:ascii="宋体" w:hAnsi="宋体"/>
          <w:bCs/>
          <w:color w:val="000000"/>
          <w:sz w:val="24"/>
          <w:highlight w:val="none"/>
        </w:rPr>
        <w:t xml:space="preserve">1、项目名称：</w:t>
      </w:r>
      <w:r>
        <w:rPr>
          <w:rFonts w:hint="eastAsia" w:ascii="宋体" w:hAnsi="宋体"/>
          <w:bCs/>
          <w:color w:val="000000"/>
          <w:sz w:val="24"/>
          <w:highlight w:val="none"/>
          <w:lang w:eastAsia="zh-CN"/>
        </w:rPr>
        <w:t xml:space="preserve">淮塔园林供水管网改造工程</w:t>
      </w:r>
      <w:r/>
    </w:p>
    <w:p>
      <w:pPr>
        <w:pStyle w:val="1235"/>
        <w:ind w:firstLine="480"/>
        <w:keepLines w:val="0"/>
        <w:keepNext w:val="0"/>
        <w:pageBreakBefore w:val="0"/>
        <w:spacing w:line="440" w:lineRule="exact"/>
        <w:rPr>
          <w:rFonts w:hint="default" w:hAnsi="宋体"/>
          <w:color w:val="000000"/>
          <w:highlight w:val="none"/>
          <w:lang w:val="en-US"/>
        </w:rPr>
        <w:outlineLvl w:val="9"/>
      </w:pPr>
      <w:r>
        <w:rPr>
          <w:rFonts w:hAnsi="宋体"/>
          <w:color w:val="000000"/>
          <w:highlight w:val="none"/>
        </w:rPr>
        <w:t xml:space="preserve">2、本项目主要内容：</w:t>
      </w:r>
      <w:r>
        <w:rPr>
          <w:rFonts w:hint="eastAsia"/>
          <w:bCs/>
          <w:color w:val="000000"/>
          <w:sz w:val="24"/>
          <w:highlight w:val="none"/>
          <w:lang w:eastAsia="zh-CN"/>
        </w:rPr>
        <w:t xml:space="preserve">塔园林供水管网改造工程包括沿园区道路敷设DN100、DN150、DN200给水管道4466米，管道中心距离路牙石1.0m，管材采用球墨铸铁管。室外给水采用与室外消防系统合用，采用SS150/65-1.0型地上式消火栓，消火栓支管从DN200给水干管接出，消火栓间距不大于120米；全园采用两路市政供水，在园林南侧增加一路市政供水。采用一座一体化泵房对整体管网进行加压。</w:t>
      </w:r>
      <w:r>
        <w:rPr>
          <w:rFonts w:hint="eastAsia"/>
          <w:bCs/>
          <w:color w:val="000000"/>
          <w:sz w:val="24"/>
          <w:highlight w:val="none"/>
          <w:lang w:val="en-US" w:eastAsia="zh-CN"/>
        </w:rPr>
        <w:t xml:space="preserve">详见工程量清单。</w:t>
      </w:r>
      <w:r/>
    </w:p>
    <w:p>
      <w:pPr>
        <w:pStyle w:val="1235"/>
        <w:keepLines w:val="0"/>
        <w:keepNext w:val="0"/>
        <w:pageBreakBefore w:val="0"/>
        <w:spacing w:line="440" w:lineRule="exact"/>
        <w:rPr>
          <w:rFonts w:hint="default" w:hAnsi="宋体" w:eastAsia="宋体"/>
          <w:color w:val="000000"/>
          <w:highlight w:val="none"/>
          <w:lang w:val="en-US" w:eastAsia="zh-CN"/>
        </w:rPr>
        <w:outlineLvl w:val="9"/>
      </w:pPr>
      <w:r>
        <w:rPr>
          <w:rFonts w:hint="eastAsia" w:hAnsi="宋体"/>
          <w:color w:val="000000"/>
          <w:highlight w:val="none"/>
          <w:lang w:val="en-US" w:eastAsia="zh-CN"/>
        </w:rPr>
        <w:t xml:space="preserve">    3、工程地点：</w:t>
      </w:r>
      <w:r>
        <w:rPr>
          <w:rFonts w:hint="eastAsia"/>
          <w:color w:val="000000"/>
          <w:highlight w:val="none"/>
          <w:lang w:val="en-US" w:eastAsia="zh-CN"/>
        </w:rPr>
        <w:t xml:space="preserve">泉山区</w:t>
      </w:r>
      <w:r/>
    </w:p>
    <w:p>
      <w:pPr>
        <w:pStyle w:val="1235"/>
        <w:ind w:firstLine="480"/>
        <w:keepLines w:val="0"/>
        <w:keepNext w:val="0"/>
        <w:pageBreakBefore w:val="0"/>
        <w:spacing w:line="440" w:lineRule="exact"/>
        <w:rPr>
          <w:rFonts w:hAnsi="宋体"/>
          <w:bCs/>
          <w:color w:val="000000"/>
          <w:highlight w:val="none"/>
        </w:rPr>
        <w:outlineLvl w:val="9"/>
      </w:pPr>
      <w:r>
        <w:rPr>
          <w:rFonts w:hint="eastAsia" w:hAnsi="宋体"/>
          <w:color w:val="000000"/>
          <w:highlight w:val="none"/>
          <w:lang w:val="en-US" w:eastAsia="zh-CN"/>
        </w:rPr>
        <w:t xml:space="preserve">4</w:t>
      </w:r>
      <w:r>
        <w:rPr>
          <w:rFonts w:hAnsi="宋体"/>
          <w:color w:val="000000"/>
          <w:highlight w:val="none"/>
        </w:rPr>
        <w:t xml:space="preserve">、工 期：</w:t>
      </w:r>
      <w:r>
        <w:rPr>
          <w:rFonts w:hint="eastAsia" w:ascii="宋体" w:hAnsi="宋体" w:eastAsia="宋体" w:cs="Times New Roman"/>
          <w:color w:val="000000"/>
          <w:sz w:val="24"/>
          <w:szCs w:val="24"/>
          <w:highlight w:val="none"/>
          <w:u w:val="single"/>
          <w:lang w:val="en-US" w:eastAsia="zh-CN" w:bidi="ar-SA"/>
        </w:rPr>
        <w:t xml:space="preserve"> </w:t>
      </w:r>
      <w:r>
        <w:rPr>
          <w:rFonts w:hint="eastAsia" w:cs="Times New Roman"/>
          <w:color w:val="000000"/>
          <w:sz w:val="24"/>
          <w:szCs w:val="24"/>
          <w:highlight w:val="none"/>
          <w:u w:val="single"/>
          <w:lang w:val="en-US" w:eastAsia="zh-CN" w:bidi="ar-SA"/>
        </w:rPr>
        <w:t xml:space="preserve">30 </w:t>
      </w:r>
      <w:r>
        <w:rPr>
          <w:rFonts w:hint="eastAsia" w:ascii="宋体" w:hAnsi="宋体" w:eastAsia="宋体" w:cs="Times New Roman"/>
          <w:color w:val="000000"/>
          <w:sz w:val="24"/>
          <w:szCs w:val="24"/>
          <w:highlight w:val="none"/>
          <w:lang w:val="en-US" w:eastAsia="zh-CN" w:bidi="ar-SA"/>
        </w:rPr>
        <w:t xml:space="preserve">日历天</w:t>
      </w:r>
      <w:r>
        <w:rPr>
          <w:rFonts w:hAnsi="宋体"/>
          <w:color w:val="000000"/>
          <w:highlight w:val="none"/>
        </w:rPr>
        <w:t xml:space="preserve">。</w:t>
      </w:r>
      <w:r>
        <w:rPr>
          <w:rFonts w:hAnsi="宋体"/>
          <w:bCs/>
          <w:color w:val="000000"/>
          <w:highlight w:val="none"/>
        </w:rPr>
        <w:t xml:space="preserve">    </w:t>
      </w:r>
      <w:r/>
    </w:p>
    <w:p>
      <w:pPr>
        <w:pStyle w:val="1252"/>
        <w:ind w:firstLine="480"/>
        <w:keepLines w:val="0"/>
        <w:keepNext w:val="0"/>
        <w:pageBreakBefore w:val="0"/>
        <w:spacing w:line="440" w:lineRule="exact"/>
        <w:rPr>
          <w:rFonts w:hint="eastAsia" w:ascii="宋体" w:hAnsi="宋体"/>
          <w:color w:val="000000"/>
          <w:sz w:val="24"/>
          <w:highlight w:val="none"/>
        </w:rPr>
        <w:outlineLvl w:val="9"/>
      </w:pPr>
      <w:r>
        <w:rPr>
          <w:rFonts w:hint="eastAsia" w:ascii="宋体" w:hAnsi="宋体"/>
          <w:color w:val="000000"/>
          <w:sz w:val="24"/>
          <w:highlight w:val="none"/>
          <w:lang w:val="en-US" w:eastAsia="zh-CN"/>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质量标准：合格（符合国家标准及行业要求，满足采购人需求）通过相关部门验收；</w:t>
      </w:r>
      <w:r/>
    </w:p>
    <w:p>
      <w:pPr>
        <w:pStyle w:val="1252"/>
        <w:ind w:firstLine="480"/>
        <w:keepLines w:val="0"/>
        <w:keepNext w:val="0"/>
        <w:pageBreakBefore w:val="0"/>
        <w:spacing w:line="440" w:lineRule="exact"/>
        <w:rPr>
          <w:rFonts w:ascii="宋体" w:hAnsi="宋体"/>
          <w:color w:val="000000"/>
          <w:sz w:val="24"/>
          <w:highlight w:val="none"/>
        </w:rPr>
        <w:outlineLvl w:val="9"/>
      </w:pPr>
      <w:r>
        <w:rPr>
          <w:rFonts w:hint="eastAsia" w:ascii="宋体" w:hAnsi="宋体"/>
          <w:color w:val="000000"/>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ascii="宋体" w:hAnsi="宋体"/>
          <w:color w:val="000000"/>
          <w:sz w:val="24"/>
          <w:highlight w:val="none"/>
        </w:rPr>
        <w:t xml:space="preserve">。</w:t>
      </w:r>
      <w:r/>
    </w:p>
    <w:p>
      <w:pPr>
        <w:pStyle w:val="1252"/>
        <w:ind w:firstLine="480"/>
        <w:keepLines w:val="0"/>
        <w:keepNext w:val="0"/>
        <w:pageBreakBefore w:val="0"/>
        <w:spacing w:line="440" w:lineRule="exact"/>
        <w:rPr>
          <w:rFonts w:ascii="宋体" w:hAnsi="宋体"/>
          <w:color w:val="000000"/>
          <w:sz w:val="24"/>
          <w:highlight w:val="none"/>
        </w:rPr>
        <w:outlineLvl w:val="9"/>
      </w:pP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、承包方式：包工包料。</w:t>
      </w:r>
      <w:r/>
    </w:p>
    <w:p>
      <w:pPr>
        <w:ind w:right="0"/>
        <w:jc w:val="both"/>
        <w:keepLines w:val="0"/>
        <w:keepNext w:val="0"/>
        <w:pageBreakBefore w:val="0"/>
        <w:spacing w:after="0" w:line="440" w:lineRule="exact"/>
        <w:rPr>
          <w:rFonts w:hint="eastAsia" w:ascii="宋体" w:hAnsi="宋体" w:eastAsia="宋体" w:cs="宋体"/>
          <w:b/>
          <w:bCs/>
          <w:color w:val="auto"/>
          <w:sz w:val="24"/>
          <w:szCs w:val="16"/>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16"/>
          <w:highlight w:val="none"/>
          <w:lang w:val="en-US" w:eastAsia="zh-CN"/>
        </w:rPr>
        <w:t xml:space="preserve">三、报价要求</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1、响应报价内容</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1.1响应报价应包括磋商文件中所确定的招标范围内工程量清单中所含施工图项目的全部内容，以及为完成上述内容所需的全部费用，其根据为供应商提交的已标价的工程量清单及附表。</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1.2供应商应按采购人提供的工程量清单填报价格。填写的项目编码、项目名称、项目特征、计量单位、工程量必须与采购人提供的一致。</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1.3实行工程量清单招标的工程建设项目，量的风险由发包人承担，价的风险在约定风险范围内的，由承包人承担，风险范围以外的按合同约定。</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1.6 施工组织设计所描述的技术措施所发生的费用，视为已体现在供应商报价的非实体性消耗所发生的费用中。</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1.7 供应商如勘察现场，供应商在现场勘察活动中须服从采购人指挥，不得因任何原因使采购人及其人员蒙受损失。供应商在现场勘察中所发生的人员伤亡、财产损失自行负责。</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1.9由供应商负责办理相关建设、城管、市政、安全、环保等部门的手续，施工供应商在响应报价时应考虑这样因素，费用包含在报价中，采购人不接受供应商关于此类费用的任何诉讼或索赔。</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1.10垃圾外运，运距及运输方式供应商自行考虑。</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2、报价方式</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2.1本工程采用固定单价合同（除另有规定外）。供应商应充分考虑施工期间各类建材的市场风险，并计入总报价，供应商在计算报价时应考虑一定的风险系数。</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2.2材料风险约定：</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2.2.1对于法律、法规、规章或有关政策出台导致工程税金、规费等发生变化的，应按照有关规定执行。</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3、报价的计价方法</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4、报价编制依据及要求：</w:t>
      </w:r>
      <w:r/>
    </w:p>
    <w:p>
      <w:pPr>
        <w:pStyle w:val="1226"/>
        <w:ind w:right="0" w:firstLine="480"/>
        <w:keepLines w:val="0"/>
        <w:keepNext w:val="0"/>
        <w:pageBreakBefore w:val="0"/>
        <w:spacing w:before="0" w:beforeAutospacing="0" w:after="0" w:afterAutospacing="0" w:line="440" w:lineRule="exact"/>
        <w:widowControl/>
        <w:rPr>
          <w:rFonts w:hint="default"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详见工程量清单。</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5、低于成本报价</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在评标过程中，磋商小组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投标文件应作无效投标文件处理。</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评标委员会全体成员三分之二以上认为该供应商不能合理说明或者不能提供相关证明材料的，认定该供应商以低于成本报价，其投标文件应作无效投标文件处理。持有异议的评标委员会成员可以书面方式阐述其不同意见和理由，拒绝签字且不陈述其不同意见和理由的，视为同意。</w:t>
      </w:r>
      <w:r/>
    </w:p>
    <w:p>
      <w:pPr>
        <w:pStyle w:val="1226"/>
        <w:ind w:right="0" w:firstLine="482"/>
        <w:keepLines w:val="0"/>
        <w:keepNext w:val="0"/>
        <w:pageBreakBefore w:val="0"/>
        <w:spacing w:before="0" w:beforeAutospacing="0" w:after="0" w:afterAutospacing="0" w:line="440" w:lineRule="exact"/>
        <w:widowControl/>
        <w:rPr>
          <w:rFonts w:hint="eastAsia" w:cs="宋体"/>
          <w:b/>
          <w:bCs/>
          <w:color w:val="auto"/>
          <w:sz w:val="24"/>
          <w:szCs w:val="24"/>
          <w:highlight w:val="none"/>
          <w:lang w:val="en-US" w:eastAsia="zh-CN"/>
        </w:rPr>
        <w:outlineLvl w:val="9"/>
        <w:suppressLineNumbers w:val="0"/>
      </w:pPr>
      <w:r>
        <w:rPr>
          <w:rFonts w:hint="eastAsia" w:cs="宋体"/>
          <w:b/>
          <w:bCs/>
          <w:color w:val="auto"/>
          <w:sz w:val="24"/>
          <w:szCs w:val="24"/>
          <w:highlight w:val="none"/>
          <w:lang w:val="en-US" w:eastAsia="zh-CN"/>
        </w:rPr>
        <w:t xml:space="preserve">四、项目实施要求</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1、供应商报价时需考虑完成本项目内容所涉及的人工费、材料费、机械费、税费、验收等相关的一切费用。</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4、承包人对工程建设期间扬尘治理工作负主体责任。应制定施工现场扬尘污染防治专项方案，按照承包工程范围做好扬尘污染防治措施的落实。</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5、质量要求标准：合格，通过相关部门验收。</w:t>
      </w:r>
      <w:r/>
    </w:p>
    <w:p>
      <w:pPr>
        <w:pStyle w:val="1226"/>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226"/>
        <w:ind w:right="0" w:firstLine="482"/>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bCs/>
          <w:color w:val="auto"/>
          <w:sz w:val="24"/>
          <w:szCs w:val="24"/>
          <w:highlight w:val="none"/>
          <w:lang w:val="en-US" w:eastAsia="zh-CN"/>
        </w:rPr>
        <w:t xml:space="preserve">五、其他要求：见磋商文件《拟签订的合同文本》。</w:t>
      </w:r>
      <w:r/>
    </w:p>
    <w:p>
      <w:pPr>
        <w:pStyle w:val="1000"/>
        <w:ind w:firstLine="2692"/>
        <w:pageBreakBefore/>
        <w:spacing w:line="0" w:lineRule="atLeast"/>
        <w:rPr>
          <w:rFonts w:hint="eastAsia" w:ascii="宋体" w:hAnsi="宋体" w:eastAsia="宋体" w:cs="宋体"/>
          <w:b/>
          <w:bCs/>
          <w:color w:val="auto"/>
          <w:sz w:val="36"/>
          <w:highlight w:val="none"/>
        </w:rPr>
      </w:pPr>
      <w:r>
        <w:rPr>
          <w:rFonts w:hint="eastAsia" w:ascii="宋体" w:hAnsi="宋体" w:eastAsia="宋体" w:cs="宋体"/>
          <w:b/>
          <w:color w:val="auto"/>
          <w:sz w:val="36"/>
          <w:highlight w:val="none"/>
        </w:rPr>
        <w:t xml:space="preserve">3、磋商</w:t>
      </w:r>
      <w:r>
        <w:rPr>
          <w:rFonts w:hint="eastAsia" w:ascii="宋体" w:hAnsi="宋体" w:eastAsia="宋体" w:cs="宋体"/>
          <w:b/>
          <w:bCs/>
          <w:color w:val="auto"/>
          <w:sz w:val="36"/>
          <w:highlight w:val="none"/>
        </w:rPr>
        <w:t xml:space="preserve">报价表</w:t>
      </w:r>
      <w:r/>
    </w:p>
    <w:p>
      <w:pPr>
        <w:pStyle w:val="1000"/>
        <w:jc w:val="left"/>
        <w:keepLines w:val="0"/>
        <w:keepNext w:val="0"/>
        <w:pageBreakBefore w:val="0"/>
        <w:spacing w:line="240" w:lineRule="auto"/>
        <w:widowControl w:val="off"/>
        <w:rPr>
          <w:rStyle w:val="1250"/>
          <w:rFonts w:ascii="宋体" w:hAnsi="宋体"/>
          <w:color w:val="auto"/>
          <w:sz w:val="24"/>
          <w:highlight w:val="none"/>
        </w:rPr>
        <w:outlineLvl w:val="9"/>
      </w:pPr>
      <w:r>
        <w:rPr>
          <w:rFonts w:ascii="宋体" w:hAnsi="宋体"/>
          <w:color w:val="auto"/>
          <w:sz w:val="24"/>
          <w:highlight w:val="none"/>
        </w:rPr>
      </w:r>
      <w:r/>
    </w:p>
    <w:p>
      <w:pPr>
        <w:pStyle w:val="1000"/>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outlineLvl w:val="9"/>
      </w:pPr>
      <w:r>
        <w:rPr>
          <w:rStyle w:val="1250"/>
          <w:rFonts w:ascii="宋体" w:hAnsi="宋体"/>
          <w:color w:val="auto"/>
          <w:sz w:val="24"/>
          <w:highlight w:val="none"/>
        </w:rPr>
        <w:t xml:space="preserve">项目名称：</w:t>
      </w:r>
      <w:r>
        <w:rPr>
          <w:rStyle w:val="1250"/>
          <w:rFonts w:hint="eastAsia" w:ascii="宋体" w:hAnsi="宋体"/>
          <w:color w:val="auto"/>
          <w:sz w:val="24"/>
          <w:highlight w:val="none"/>
        </w:rPr>
        <w:t xml:space="preserve">淮塔园林供水管网改造工程</w:t>
      </w:r>
      <w:r/>
    </w:p>
    <w:p>
      <w:pPr>
        <w:pStyle w:val="1000"/>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JSZC-320300-JSCL-C2025-0006</w:t>
      </w:r>
      <w:r/>
    </w:p>
    <w:p>
      <w:pPr>
        <w:pStyle w:val="100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10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99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23"/>
        <w:gridCol w:w="1980"/>
        <w:gridCol w:w="1903"/>
        <w:gridCol w:w="1458"/>
        <w:gridCol w:w="1458"/>
      </w:tblGrid>
      <w:tr>
        <w:trPr>
          <w:jc w:val="center"/>
          <w:trHeight w:val="1107"/>
        </w:trPr>
        <w:tc>
          <w:tcPr>
            <w:tcW w:w="1723" w:type="dxa"/>
            <w:vAlign w:val="center"/>
            <w:textDirection w:val="lrTb"/>
            <w:noWrap w:val="false"/>
          </w:tcPr>
          <w:p>
            <w:pPr>
              <w:pStyle w:val="1000"/>
              <w:jc w:val="center"/>
              <w:widowControl w:val="off"/>
              <w:rPr>
                <w:rStyle w:val="1250"/>
                <w:rFonts w:hint="eastAsia" w:ascii="宋体" w:hAnsi="宋体" w:eastAsia="宋体" w:cs="宋体"/>
                <w:color w:val="auto"/>
                <w:sz w:val="24"/>
                <w:highlight w:val="none"/>
              </w:rPr>
            </w:pPr>
            <w:r>
              <w:rPr>
                <w:rStyle w:val="1250"/>
                <w:rFonts w:hint="eastAsia" w:ascii="宋体" w:hAnsi="宋体" w:eastAsia="宋体" w:cs="宋体"/>
                <w:color w:val="auto"/>
                <w:sz w:val="24"/>
                <w:highlight w:val="none"/>
              </w:rPr>
              <w:t xml:space="preserve">项目名称</w:t>
            </w:r>
            <w:r/>
          </w:p>
        </w:tc>
        <w:tc>
          <w:tcPr>
            <w:tcW w:w="1980" w:type="dxa"/>
            <w:vAlign w:val="center"/>
            <w:textDirection w:val="lrTb"/>
            <w:noWrap w:val="false"/>
          </w:tcPr>
          <w:p>
            <w:pPr>
              <w:pStyle w:val="1000"/>
              <w:jc w:val="center"/>
              <w:widowControl w:val="off"/>
              <w:rPr>
                <w:rStyle w:val="1250"/>
                <w:rFonts w:hint="eastAsia" w:ascii="宋体" w:hAnsi="宋体" w:eastAsia="宋体" w:cs="宋体"/>
                <w:color w:val="auto"/>
                <w:sz w:val="24"/>
                <w:highlight w:val="none"/>
              </w:rPr>
            </w:pPr>
            <w:r>
              <w:rPr>
                <w:rStyle w:val="1250"/>
                <w:rFonts w:hint="eastAsia" w:ascii="宋体" w:hAnsi="宋体" w:eastAsia="宋体" w:cs="宋体"/>
                <w:color w:val="auto"/>
                <w:sz w:val="24"/>
                <w:highlight w:val="none"/>
              </w:rPr>
              <w:t xml:space="preserve">项目内容</w:t>
            </w:r>
            <w:r/>
          </w:p>
        </w:tc>
        <w:tc>
          <w:tcPr>
            <w:tcW w:w="1903" w:type="dxa"/>
            <w:vAlign w:val="center"/>
            <w:textDirection w:val="lrTb"/>
            <w:noWrap w:val="false"/>
          </w:tcPr>
          <w:p>
            <w:pPr>
              <w:pStyle w:val="1000"/>
              <w:jc w:val="center"/>
              <w:widowControl w:val="off"/>
              <w:rPr>
                <w:rStyle w:val="1250"/>
                <w:rFonts w:hint="eastAsia" w:ascii="宋体" w:hAnsi="宋体" w:eastAsia="宋体" w:cs="宋体"/>
                <w:color w:val="auto"/>
                <w:sz w:val="24"/>
                <w:highlight w:val="none"/>
              </w:rPr>
            </w:pPr>
            <w:r>
              <w:rPr>
                <w:rStyle w:val="1250"/>
                <w:rFonts w:hint="eastAsia" w:ascii="宋体" w:hAnsi="宋体" w:eastAsia="宋体" w:cs="宋体"/>
                <w:color w:val="auto"/>
                <w:sz w:val="24"/>
                <w:highlight w:val="none"/>
                <w:lang w:val="en-US" w:eastAsia="zh-CN"/>
              </w:rPr>
              <w:t xml:space="preserve">总价</w:t>
            </w:r>
            <w:r>
              <w:rPr>
                <w:rStyle w:val="1250"/>
                <w:rFonts w:hint="eastAsia" w:ascii="宋体" w:hAnsi="宋体" w:eastAsia="宋体" w:cs="宋体"/>
                <w:color w:val="auto"/>
                <w:sz w:val="24"/>
                <w:highlight w:val="none"/>
              </w:rPr>
              <w:t xml:space="preserve">（小写）</w:t>
            </w:r>
            <w:r/>
          </w:p>
        </w:tc>
        <w:tc>
          <w:tcPr>
            <w:tcW w:w="1458" w:type="dxa"/>
            <w:vAlign w:val="center"/>
            <w:textDirection w:val="lrTb"/>
            <w:noWrap w:val="false"/>
          </w:tcPr>
          <w:p>
            <w:pPr>
              <w:pStyle w:val="1000"/>
              <w:jc w:val="center"/>
              <w:widowControl w:val="off"/>
              <w:rPr>
                <w:rStyle w:val="1250"/>
                <w:rFonts w:hint="eastAsia" w:ascii="宋体" w:hAnsi="宋体" w:eastAsia="宋体" w:cs="宋体"/>
                <w:color w:val="auto"/>
                <w:sz w:val="24"/>
                <w:highlight w:val="none"/>
                <w:lang w:val="en-US" w:eastAsia="zh-CN"/>
              </w:rPr>
            </w:pPr>
            <w:r>
              <w:rPr>
                <w:rStyle w:val="1250"/>
                <w:rFonts w:hint="eastAsia" w:ascii="宋体" w:hAnsi="宋体" w:eastAsia="宋体" w:cs="宋体"/>
                <w:color w:val="auto"/>
                <w:sz w:val="24"/>
                <w:highlight w:val="none"/>
                <w:lang w:val="en-US" w:eastAsia="zh-CN"/>
              </w:rPr>
              <w:t xml:space="preserve">工期（日历天）</w:t>
            </w:r>
            <w:r/>
          </w:p>
        </w:tc>
        <w:tc>
          <w:tcPr>
            <w:tcW w:w="1458" w:type="dxa"/>
            <w:vAlign w:val="center"/>
            <w:textDirection w:val="lrTb"/>
            <w:noWrap w:val="false"/>
          </w:tcPr>
          <w:p>
            <w:pPr>
              <w:pStyle w:val="1000"/>
              <w:jc w:val="center"/>
              <w:widowControl w:val="off"/>
              <w:rPr>
                <w:rStyle w:val="1250"/>
                <w:rFonts w:hint="default" w:ascii="宋体" w:hAnsi="宋体" w:eastAsia="宋体" w:cs="宋体"/>
                <w:color w:val="auto"/>
                <w:sz w:val="24"/>
                <w:highlight w:val="none"/>
                <w:lang w:val="en-US" w:eastAsia="zh-CN"/>
              </w:rPr>
            </w:pPr>
            <w:r>
              <w:rPr>
                <w:rStyle w:val="1250"/>
                <w:rFonts w:hint="eastAsia" w:ascii="宋体" w:hAnsi="宋体" w:cs="宋体"/>
                <w:color w:val="auto"/>
                <w:sz w:val="24"/>
                <w:highlight w:val="none"/>
                <w:lang w:val="en-US" w:eastAsia="zh-CN"/>
              </w:rPr>
              <w:t xml:space="preserve">备注</w:t>
            </w:r>
            <w:r/>
          </w:p>
        </w:tc>
      </w:tr>
      <w:tr>
        <w:trPr>
          <w:jc w:val="center"/>
          <w:trHeight w:val="1096"/>
        </w:trPr>
        <w:tc>
          <w:tcPr>
            <w:tcW w:w="1723" w:type="dxa"/>
            <w:vAlign w:val="center"/>
            <w:textDirection w:val="lrTb"/>
            <w:noWrap w:val="false"/>
          </w:tcPr>
          <w:p>
            <w:pPr>
              <w:pStyle w:val="1000"/>
              <w:jc w:val="center"/>
              <w:widowControl w:val="off"/>
              <w:rPr>
                <w:rStyle w:val="1250"/>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 xml:space="preserve">淮塔园林供水管网改造工程</w:t>
            </w:r>
            <w:r/>
          </w:p>
        </w:tc>
        <w:tc>
          <w:tcPr>
            <w:tcW w:w="1980" w:type="dxa"/>
            <w:vAlign w:val="center"/>
            <w:textDirection w:val="lrTb"/>
            <w:noWrap w:val="false"/>
          </w:tcPr>
          <w:p>
            <w:pPr>
              <w:pStyle w:val="1000"/>
              <w:jc w:val="center"/>
              <w:widowControl w:val="off"/>
              <w:rPr>
                <w:rStyle w:val="1250"/>
                <w:rFonts w:hint="eastAsia" w:ascii="宋体" w:hAnsi="宋体" w:eastAsia="宋体" w:cs="宋体"/>
                <w:color w:val="auto"/>
                <w:sz w:val="24"/>
                <w:highlight w:val="none"/>
              </w:rPr>
            </w:pPr>
            <w:r>
              <w:rPr>
                <w:rStyle w:val="1250"/>
                <w:rFonts w:hint="eastAsia" w:ascii="宋体" w:hAnsi="宋体" w:eastAsia="宋体" w:cs="宋体"/>
                <w:color w:val="auto"/>
                <w:sz w:val="24"/>
                <w:highlight w:val="none"/>
              </w:rPr>
              <w:t xml:space="preserve">详见响应文件</w:t>
            </w:r>
            <w:r/>
          </w:p>
        </w:tc>
        <w:tc>
          <w:tcPr>
            <w:tcW w:w="1903" w:type="dxa"/>
            <w:vAlign w:val="center"/>
            <w:textDirection w:val="lrTb"/>
            <w:noWrap w:val="false"/>
          </w:tcPr>
          <w:p>
            <w:pPr>
              <w:pStyle w:val="1000"/>
              <w:jc w:val="center"/>
              <w:widowControl w:val="off"/>
              <w:rPr>
                <w:rStyle w:val="1250"/>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58" w:type="dxa"/>
            <w:vAlign w:val="center"/>
            <w:textDirection w:val="lrTb"/>
            <w:noWrap w:val="false"/>
          </w:tcPr>
          <w:p>
            <w:pPr>
              <w:pStyle w:val="1000"/>
              <w:jc w:val="center"/>
              <w:widowControl w:val="off"/>
              <w:rPr>
                <w:rStyle w:val="1250"/>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58" w:type="dxa"/>
            <w:vAlign w:val="center"/>
            <w:vMerge w:val="restart"/>
            <w:textDirection w:val="lrTb"/>
            <w:noWrap w:val="false"/>
          </w:tcPr>
          <w:p>
            <w:pPr>
              <w:pStyle w:val="1000"/>
              <w:jc w:val="left"/>
              <w:widowControl w:val="off"/>
              <w:tabs>
                <w:tab w:val="left" w:pos="552" w:leader="none"/>
              </w:tabs>
              <w:rPr>
                <w:rStyle w:val="1250"/>
                <w:rFonts w:hint="eastAsia" w:ascii="宋体" w:hAnsi="宋体" w:eastAsia="宋体" w:cs="宋体"/>
                <w:color w:val="auto"/>
                <w:sz w:val="24"/>
                <w:highlight w:val="none"/>
              </w:rPr>
            </w:pPr>
            <w:r>
              <w:rPr>
                <w:rFonts w:ascii="宋体" w:hAnsi="宋体"/>
                <w:sz w:val="24"/>
                <w:highlight w:val="none"/>
              </w:rPr>
              <w:t xml:space="preserve">报价为《已标价的工程量清单》的总价。</w:t>
            </w:r>
            <w:r/>
          </w:p>
        </w:tc>
      </w:tr>
      <w:tr>
        <w:trPr>
          <w:jc w:val="center"/>
          <w:trHeight w:val="1333"/>
        </w:trPr>
        <w:tc>
          <w:tcPr>
            <w:tcW w:w="1723" w:type="dxa"/>
            <w:vAlign w:val="center"/>
            <w:textDirection w:val="lrTb"/>
            <w:noWrap w:val="false"/>
          </w:tcPr>
          <w:p>
            <w:pPr>
              <w:pStyle w:val="1000"/>
              <w:jc w:val="center"/>
              <w:widowControl w:val="off"/>
              <w:rPr>
                <w:rStyle w:val="1250"/>
                <w:rFonts w:hint="eastAsia" w:ascii="宋体" w:hAnsi="宋体" w:eastAsia="宋体" w:cs="宋体"/>
                <w:color w:val="auto"/>
                <w:sz w:val="24"/>
                <w:highlight w:val="none"/>
              </w:rPr>
            </w:pPr>
            <w:r>
              <w:rPr>
                <w:rStyle w:val="1250"/>
                <w:rFonts w:hint="eastAsia" w:ascii="宋体" w:hAnsi="宋体" w:eastAsia="宋体" w:cs="宋体"/>
                <w:color w:val="auto"/>
                <w:sz w:val="24"/>
                <w:highlight w:val="none"/>
              </w:rPr>
              <w:t xml:space="preserve">总价（大写）：</w:t>
            </w:r>
            <w:r/>
          </w:p>
        </w:tc>
        <w:tc>
          <w:tcPr>
            <w:gridSpan w:val="3"/>
            <w:tcW w:w="5341" w:type="dxa"/>
            <w:vAlign w:val="center"/>
            <w:textDirection w:val="lrTb"/>
            <w:noWrap w:val="false"/>
          </w:tcPr>
          <w:p>
            <w:pPr>
              <w:pStyle w:val="1000"/>
              <w:jc w:val="center"/>
              <w:widowControl w:val="off"/>
              <w:rPr>
                <w:rStyle w:val="1250"/>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58" w:type="dxa"/>
            <w:vAlign w:val="center"/>
            <w:vMerge w:val="continue"/>
            <w:textDirection w:val="lrTb"/>
            <w:noWrap w:val="false"/>
          </w:tcPr>
          <w:p>
            <w:pPr>
              <w:pStyle w:val="1000"/>
              <w:jc w:val="center"/>
              <w:widowControl w:val="off"/>
              <w:rPr>
                <w:rStyle w:val="1250"/>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1019"/>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供应商承诺：本报价（总价）为供应商本企业提供的服务。</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1、报价应包括磋商文件所确定的招标范围内工程量清单所含的全部内容，以及为完成上述内容所需的全部费用。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 各项最初报价的单价。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10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00"/>
        <w:numPr>
          <w:ilvl w:val="0"/>
          <w:numId w:val="0"/>
        </w:numPr>
        <w:jc w:val="center"/>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r>
      <w:r/>
    </w:p>
    <w:p>
      <w:pPr>
        <w:ind w:firstLine="2891"/>
        <w:jc w:val="both"/>
        <w:rPr>
          <w:rFonts w:hint="eastAsia" w:ascii="宋体" w:hAnsi="宋体" w:cs="宋体"/>
          <w:b/>
          <w:bCs/>
          <w:color w:val="auto"/>
          <w:sz w:val="36"/>
          <w:highlight w:val="none"/>
        </w:rPr>
      </w:pPr>
      <w:r>
        <w:rPr>
          <w:rFonts w:hint="eastAsia" w:ascii="宋体" w:hAnsi="宋体" w:eastAsia="宋体" w:cs="宋体"/>
          <w:b/>
          <w:bCs/>
          <w:color w:val="auto"/>
          <w:sz w:val="36"/>
          <w:highlight w:val="none"/>
          <w:lang w:val="en-US" w:eastAsia="zh-CN"/>
        </w:rPr>
        <w:t xml:space="preserve">4、</w:t>
      </w:r>
      <w:bookmarkStart w:id="0" w:name="_Hlk81985238"/>
      <w:r>
        <w:rPr>
          <w:rFonts w:hint="eastAsia" w:ascii="宋体" w:hAnsi="宋体" w:cs="宋体"/>
          <w:b/>
          <w:bCs/>
          <w:color w:val="auto"/>
          <w:sz w:val="36"/>
          <w:highlight w:val="none"/>
        </w:rPr>
        <w:t xml:space="preserve">分项价格表</w:t>
      </w:r>
      <w:r/>
    </w:p>
    <w:p>
      <w:pPr>
        <w:jc w:val="center"/>
        <w:spacing w:line="360" w:lineRule="auto"/>
        <w:rPr>
          <w:rFonts w:hint="eastAsia" w:ascii="宋体" w:hAnsi="宋体" w:cs="宋体"/>
          <w:color w:val="auto"/>
          <w:sz w:val="24"/>
          <w:highlight w:val="none"/>
        </w:rPr>
      </w:pPr>
      <w:r>
        <w:rPr>
          <w:rFonts w:ascii="宋体" w:hAnsi="宋体"/>
          <w:b/>
          <w:bCs/>
          <w:color w:val="auto"/>
          <w:sz w:val="36"/>
          <w:highlight w:val="none"/>
        </w:rPr>
        <w:t xml:space="preserve">（具有标价的工程量清单与报价表）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JSZC-320300-JSCL-C2025-0006</w:t>
      </w:r>
      <w:r/>
    </w:p>
    <w:p>
      <w:pPr>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淮塔园林供水管网改造工程</w:t>
      </w:r>
      <w:r/>
    </w:p>
    <w:p>
      <w:pPr>
        <w:pStyle w:val="1006"/>
        <w:rPr>
          <w:rFonts w:hint="eastAsia"/>
          <w:color w:val="auto"/>
          <w:highlight w:val="none"/>
        </w:rPr>
      </w:pPr>
      <w:r>
        <w:rPr>
          <w:rFonts w:hint="eastAsia"/>
          <w:color w:val="auto"/>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67"/>
        <w:rPr>
          <w:rFonts w:hint="eastAsia" w:ascii="宋体" w:hAnsi="宋体" w:cs="宋体"/>
          <w:color w:val="auto"/>
          <w:highlight w:val="none"/>
        </w:rPr>
      </w:pPr>
      <w:r>
        <w:rPr>
          <w:rFonts w:hint="eastAsia" w:ascii="宋体" w:hAnsi="宋体" w:cs="宋体"/>
          <w:color w:val="auto"/>
          <w:highlight w:val="none"/>
        </w:rPr>
      </w:r>
      <w:r/>
    </w:p>
    <w:p>
      <w:pPr>
        <w:pStyle w:val="1267"/>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                        日期：</w:t>
      </w:r>
      <w:r>
        <w:rPr>
          <w:rFonts w:hint="eastAsia" w:ascii="宋体" w:hAnsi="宋体" w:cs="宋体"/>
          <w:color w:val="auto"/>
          <w:sz w:val="24"/>
          <w:highlight w:val="none"/>
          <w:lang w:val="en-US" w:eastAsia="zh-CN"/>
        </w:rPr>
        <w:t xml:space="preserve">  年  月 日</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numPr>
          <w:ilvl w:val="0"/>
          <w:numId w:val="3"/>
        </w:num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响应供应商对以上数据的真实性负责。</w:t>
      </w:r>
      <w:bookmarkEnd w:id="0"/>
      <w:r/>
      <w:r/>
    </w:p>
    <w:p>
      <w:pPr>
        <w:spacing w:line="276" w:lineRule="auto"/>
        <w:rPr>
          <w:rFonts w:ascii="宋体" w:hAnsi="宋体"/>
          <w:b/>
          <w:i/>
          <w:color w:val="auto"/>
          <w:sz w:val="24"/>
          <w:highlight w:val="none"/>
          <w:u w:val="single"/>
        </w:rPr>
      </w:pPr>
      <w:r>
        <w:rPr>
          <w:rFonts w:ascii="宋体" w:hAnsi="宋体"/>
          <w:b/>
          <w:i/>
          <w:color w:val="auto"/>
          <w:sz w:val="24"/>
          <w:highlight w:val="none"/>
          <w:u w:val="single"/>
        </w:rPr>
      </w:r>
      <w:r/>
    </w:p>
    <w:p>
      <w:pPr>
        <w:jc w:val="center"/>
        <w:spacing w:line="276" w:lineRule="auto"/>
        <w:rPr>
          <w:rFonts w:hint="eastAsia" w:ascii="宋体" w:hAnsi="宋体" w:eastAsia="宋体" w:cs="宋体"/>
          <w:b/>
          <w:i w:val="0"/>
          <w:iCs/>
          <w:color w:val="auto"/>
          <w:sz w:val="24"/>
          <w:highlight w:val="none"/>
          <w:u w:val="single"/>
        </w:rPr>
      </w:pPr>
      <w:r>
        <w:rPr>
          <w:rFonts w:hint="eastAsia" w:ascii="宋体" w:hAnsi="宋体" w:eastAsia="宋体" w:cs="宋体"/>
          <w:b/>
          <w:i w:val="0"/>
          <w:iCs/>
          <w:color w:val="auto"/>
          <w:sz w:val="24"/>
          <w:highlight w:val="none"/>
          <w:u w:val="single"/>
        </w:rPr>
        <w:t xml:space="preserve">采购人或采购代理机构有权将以上内容进行公示。</w:t>
      </w:r>
      <w:r/>
    </w:p>
    <w:p>
      <w:pPr>
        <w:rPr>
          <w:rFonts w:hint="eastAsia" w:ascii="宋体" w:hAnsi="宋体" w:eastAsia="宋体" w:cs="宋体"/>
          <w:b/>
          <w:i w:val="0"/>
          <w:iCs/>
          <w:color w:val="auto"/>
          <w:sz w:val="24"/>
          <w:highlight w:val="none"/>
          <w:u w:val="single"/>
        </w:rPr>
      </w:pPr>
      <w:r>
        <w:rPr>
          <w:rFonts w:hint="eastAsia" w:ascii="宋体" w:hAnsi="宋体" w:eastAsia="宋体" w:cs="宋体"/>
          <w:b/>
          <w:i w:val="0"/>
          <w:iCs/>
          <w:color w:val="auto"/>
          <w:sz w:val="24"/>
          <w:highlight w:val="none"/>
          <w:u w:val="single"/>
        </w:rPr>
        <w:br w:type="page" w:clear="all"/>
      </w:r>
      <w:r/>
    </w:p>
    <w:p>
      <w:pPr>
        <w:pStyle w:val="1038"/>
        <w:rPr>
          <w:rFonts w:hint="eastAsia"/>
          <w:highlight w:val="none"/>
        </w:rPr>
      </w:pPr>
      <w:r>
        <w:rPr>
          <w:rFonts w:hint="eastAsia"/>
          <w:highlight w:val="none"/>
        </w:rPr>
      </w:r>
      <w:r/>
    </w:p>
    <w:p>
      <w:pPr>
        <w:jc w:val="center"/>
        <w:rPr>
          <w:rFonts w:hint="eastAsia" w:ascii="宋体" w:hAnsi="宋体" w:eastAsia="宋体" w:cs="宋体"/>
          <w:b/>
          <w:bCs/>
          <w:color w:val="auto"/>
          <w:sz w:val="36"/>
          <w:highlight w:val="none"/>
        </w:rPr>
      </w:pPr>
      <w:r>
        <w:rPr>
          <w:rFonts w:hint="eastAsia" w:ascii="宋体" w:hAnsi="宋体" w:cs="宋体"/>
          <w:b/>
          <w:bCs/>
          <w:color w:val="auto"/>
          <w:sz w:val="36"/>
          <w:highlight w:val="none"/>
          <w:lang w:val="en-US" w:eastAsia="zh-CN"/>
        </w:rPr>
        <w:t xml:space="preserve">5</w:t>
      </w:r>
      <w:r>
        <w:rPr>
          <w:rFonts w:hint="eastAsia" w:ascii="宋体" w:hAnsi="宋体" w:eastAsia="宋体" w:cs="宋体"/>
          <w:b/>
          <w:bCs/>
          <w:color w:val="auto"/>
          <w:sz w:val="36"/>
          <w:highlight w:val="none"/>
        </w:rPr>
        <w:t xml:space="preserve">、偏离表</w:t>
      </w:r>
      <w:r/>
    </w:p>
    <w:p>
      <w:pPr>
        <w:pStyle w:val="1000"/>
        <w:jc w:val="left"/>
        <w:spacing w:line="400" w:lineRule="exact"/>
        <w:widowControl w:val="off"/>
        <w:rPr>
          <w:rStyle w:val="1250"/>
          <w:rFonts w:ascii="宋体" w:hAnsi="宋体"/>
          <w:color w:val="auto"/>
          <w:sz w:val="24"/>
          <w:highlight w:val="none"/>
        </w:rPr>
      </w:pPr>
      <w:r>
        <w:rPr>
          <w:rStyle w:val="1250"/>
          <w:rFonts w:ascii="宋体" w:hAnsi="宋体"/>
          <w:color w:val="auto"/>
          <w:sz w:val="24"/>
          <w:highlight w:val="none"/>
        </w:rPr>
        <w:t xml:space="preserve">项目名称：</w:t>
      </w:r>
      <w:r>
        <w:rPr>
          <w:rStyle w:val="1250"/>
          <w:rFonts w:hint="eastAsia" w:ascii="宋体" w:hAnsi="宋体"/>
          <w:color w:val="auto"/>
          <w:sz w:val="24"/>
          <w:highlight w:val="none"/>
        </w:rPr>
        <w:t xml:space="preserve">淮塔园林供水管网改造工程</w:t>
      </w:r>
      <w:r/>
    </w:p>
    <w:p>
      <w:pPr>
        <w:pStyle w:val="1000"/>
        <w:jc w:val="left"/>
        <w:spacing w:line="400" w:lineRule="exact"/>
        <w:widowControl w:val="off"/>
        <w:rPr>
          <w:rStyle w:val="1250"/>
          <w:rFonts w:ascii="宋体" w:hAnsi="宋体"/>
          <w:color w:val="auto"/>
          <w:sz w:val="24"/>
          <w:highlight w:val="none"/>
        </w:rPr>
      </w:pPr>
      <w:r>
        <w:rPr>
          <w:rStyle w:val="1250"/>
          <w:rFonts w:ascii="宋体" w:hAnsi="宋体"/>
          <w:color w:val="auto"/>
          <w:sz w:val="24"/>
          <w:highlight w:val="none"/>
        </w:rPr>
        <w:t xml:space="preserve">项目编号： </w:t>
      </w:r>
      <w:r>
        <w:rPr>
          <w:rStyle w:val="1250"/>
          <w:rFonts w:hint="eastAsia" w:ascii="宋体" w:hAnsi="宋体"/>
          <w:color w:val="auto"/>
          <w:sz w:val="24"/>
          <w:highlight w:val="none"/>
        </w:rPr>
        <w:t xml:space="preserve">JSZC-320300-JSCL-C2025-0006</w:t>
      </w:r>
      <w:r/>
    </w:p>
    <w:tbl>
      <w:tblPr>
        <w:tblStyle w:val="992"/>
        <w:tblW w:w="8485" w:type="dxa"/>
        <w:jc w:val="center"/>
        <w:tblLayout w:type="fixed"/>
        <w:tblCellMar>
          <w:left w:w="0" w:type="dxa"/>
          <w:top w:w="0" w:type="dxa"/>
          <w:right w:w="0" w:type="dxa"/>
          <w:bottom w:w="0" w:type="dxa"/>
        </w:tblCellMar>
        <w:tblLook w:val="04A0" w:firstRow="1" w:lastRow="0" w:firstColumn="1" w:lastColumn="0" w:noHBand="0" w:noVBand="1"/>
      </w:tblPr>
      <w:tblGrid>
        <w:gridCol w:w="626"/>
        <w:gridCol w:w="980"/>
        <w:gridCol w:w="3577"/>
        <w:gridCol w:w="1477"/>
        <w:gridCol w:w="1200"/>
        <w:gridCol w:w="625"/>
      </w:tblGrid>
      <w:tr>
        <w:trPr>
          <w:jc w:val="center"/>
          <w:trHeight w:val="414"/>
        </w:trPr>
        <w:tc>
          <w:tcPr>
            <w:tcBorders>
              <w:top w:val="single" w:color="000000" w:sz="6" w:space="0"/>
              <w:left w:val="single" w:color="000000" w:sz="6" w:space="0"/>
              <w:bottom w:val="single" w:color="000000" w:sz="6" w:space="0"/>
              <w:right w:val="single" w:color="000000" w:sz="6" w:space="0"/>
            </w:tcBorders>
            <w:tcW w:w="626" w:type="dxa"/>
            <w:vAlign w:val="center"/>
            <w:textDirection w:val="lrTb"/>
            <w:noWrap w:val="false"/>
          </w:tcPr>
          <w:p>
            <w:pPr>
              <w:jc w:val="center"/>
              <w:rPr>
                <w:rStyle w:val="1250"/>
                <w:rFonts w:ascii="宋体" w:hAnsi="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80" w:type="dxa"/>
            <w:vAlign w:val="center"/>
            <w:textDirection w:val="lrTb"/>
            <w:noWrap w:val="false"/>
          </w:tcPr>
          <w:p>
            <w:pPr>
              <w:jc w:val="center"/>
              <w:rPr>
                <w:rStyle w:val="1250"/>
                <w:rFonts w:ascii="宋体" w:hAnsi="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577" w:type="dxa"/>
            <w:vAlign w:val="center"/>
            <w:textDirection w:val="lrTb"/>
            <w:noWrap w:val="false"/>
          </w:tcPr>
          <w:p>
            <w:pPr>
              <w:jc w:val="center"/>
              <w:rPr>
                <w:rStyle w:val="1250"/>
                <w:rFonts w:ascii="宋体" w:hAnsi="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77" w:type="dxa"/>
            <w:vAlign w:val="center"/>
            <w:textDirection w:val="lrTb"/>
            <w:noWrap w:val="false"/>
          </w:tcPr>
          <w:p>
            <w:pPr>
              <w:jc w:val="center"/>
              <w:rPr>
                <w:rStyle w:val="1250"/>
                <w:rFonts w:ascii="宋体" w:hAnsi="宋体"/>
                <w:caps/>
                <w:color w:val="auto"/>
                <w:sz w:val="24"/>
                <w:highlight w:val="none"/>
              </w:rPr>
            </w:pPr>
            <w:r>
              <w:rPr>
                <w:rFonts w:hint="eastAsia" w:ascii="宋体" w:hAnsi="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00" w:type="dxa"/>
            <w:vAlign w:val="center"/>
            <w:textDirection w:val="lrTb"/>
            <w:noWrap w:val="false"/>
          </w:tcPr>
          <w:p>
            <w:pPr>
              <w:rPr>
                <w:rStyle w:val="1250"/>
                <w:rFonts w:ascii="宋体" w:hAnsi="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625" w:type="dxa"/>
            <w:vAlign w:val="center"/>
            <w:textDirection w:val="lrTb"/>
            <w:noWrap w:val="false"/>
          </w:tcPr>
          <w:p>
            <w:pPr>
              <w:jc w:val="center"/>
              <w:rPr>
                <w:rStyle w:val="1250"/>
                <w:rFonts w:ascii="宋体" w:hAnsi="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vAlign w:val="center"/>
            <w:textDirection w:val="lrTb"/>
            <w:noWrap w:val="false"/>
          </w:tcPr>
          <w:p>
            <w:pPr>
              <w:pStyle w:val="1000"/>
              <w:jc w:val="center"/>
              <w:spacing w:line="400" w:lineRule="exact"/>
              <w:widowControl w:val="off"/>
              <w:rPr>
                <w:rStyle w:val="1250"/>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vAlign w:val="center"/>
            <w:textDirection w:val="lrTb"/>
            <w:noWrap w:val="false"/>
          </w:tcPr>
          <w:p>
            <w:pPr>
              <w:pStyle w:val="1000"/>
              <w:jc w:val="center"/>
              <w:spacing w:line="400" w:lineRule="exact"/>
              <w:widowControl w:val="off"/>
              <w:rPr>
                <w:rStyle w:val="1250"/>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vAlign w:val="center"/>
            <w:textDirection w:val="lrTb"/>
            <w:noWrap w:val="false"/>
          </w:tcPr>
          <w:p>
            <w:pPr>
              <w:pStyle w:val="1000"/>
              <w:jc w:val="center"/>
              <w:spacing w:line="400" w:lineRule="exact"/>
              <w:widowControl w:val="off"/>
              <w:rPr>
                <w:rStyle w:val="1250"/>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vAlign w:val="center"/>
            <w:textDirection w:val="lrTb"/>
            <w:noWrap w:val="false"/>
          </w:tcPr>
          <w:p>
            <w:pPr>
              <w:pStyle w:val="1000"/>
              <w:jc w:val="center"/>
              <w:spacing w:line="400" w:lineRule="exact"/>
              <w:widowControl w:val="off"/>
              <w:rPr>
                <w:rStyle w:val="1250"/>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vAlign w:val="center"/>
            <w:textDirection w:val="lrTb"/>
            <w:noWrap w:val="false"/>
          </w:tcPr>
          <w:p>
            <w:pPr>
              <w:pStyle w:val="1000"/>
              <w:jc w:val="center"/>
              <w:spacing w:line="400" w:lineRule="exact"/>
              <w:widowControl w:val="off"/>
              <w:rPr>
                <w:rStyle w:val="1250"/>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vAlign w:val="center"/>
            <w:textDirection w:val="lrTb"/>
            <w:noWrap w:val="false"/>
          </w:tcPr>
          <w:p>
            <w:pPr>
              <w:pStyle w:val="1000"/>
              <w:jc w:val="center"/>
              <w:spacing w:line="400" w:lineRule="exact"/>
              <w:widowControl w:val="off"/>
              <w:rPr>
                <w:rStyle w:val="1250"/>
                <w:rFonts w:ascii="宋体" w:hAnsi="宋体"/>
                <w:caps/>
                <w:color w:val="auto"/>
                <w:sz w:val="24"/>
                <w:highlight w:val="none"/>
              </w:rPr>
            </w:pPr>
            <w:r>
              <w:rPr>
                <w:rFonts w:ascii="宋体" w:hAnsi="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textDirection w:val="lrTb"/>
            <w:noWrap w:val="false"/>
          </w:tcPr>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tc>
      </w:tr>
    </w:tbl>
    <w:p>
      <w:pPr>
        <w:pStyle w:val="1000"/>
        <w:jc w:val="left"/>
        <w:spacing w:line="400" w:lineRule="exact"/>
        <w:widowControl w:val="off"/>
        <w:rPr>
          <w:rStyle w:val="1250"/>
          <w:rFonts w:ascii="宋体" w:hAnsi="宋体"/>
          <w:color w:val="auto"/>
          <w:sz w:val="24"/>
          <w:highlight w:val="none"/>
          <w:u w:val="single"/>
        </w:rPr>
      </w:pPr>
      <w:r>
        <w:rPr>
          <w:rStyle w:val="1250"/>
          <w:rFonts w:ascii="宋体" w:hAnsi="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00"/>
        <w:jc w:val="left"/>
        <w:spacing w:line="400" w:lineRule="exact"/>
        <w:widowControl w:val="off"/>
        <w:rPr>
          <w:rStyle w:val="1250"/>
          <w:rFonts w:ascii="宋体" w:hAnsi="宋体"/>
          <w:color w:val="auto"/>
          <w:sz w:val="24"/>
          <w:highlight w:val="none"/>
        </w:rPr>
      </w:pPr>
      <w:r>
        <w:rPr>
          <w:rFonts w:ascii="宋体" w:hAnsi="宋体"/>
          <w:color w:val="auto"/>
          <w:sz w:val="24"/>
          <w:highlight w:val="none"/>
        </w:rPr>
      </w:r>
      <w:r/>
    </w:p>
    <w:p>
      <w:pPr>
        <w:pStyle w:val="1000"/>
        <w:ind w:firstLine="3960"/>
        <w:jc w:val="left"/>
        <w:spacing w:line="400" w:lineRule="exact"/>
        <w:widowControl w:val="off"/>
        <w:rPr>
          <w:rStyle w:val="1250"/>
          <w:rFonts w:ascii="宋体" w:hAnsi="宋体"/>
          <w:color w:val="auto"/>
          <w:sz w:val="24"/>
          <w:highlight w:val="none"/>
        </w:rPr>
      </w:pPr>
      <w:r>
        <w:rPr>
          <w:rStyle w:val="1250"/>
          <w:rFonts w:ascii="宋体" w:hAnsi="宋体"/>
          <w:color w:val="auto"/>
          <w:sz w:val="24"/>
          <w:highlight w:val="none"/>
        </w:rPr>
        <w:t xml:space="preserve">供应商（</w:t>
      </w:r>
      <w:r>
        <w:rPr>
          <w:rStyle w:val="1250"/>
          <w:rFonts w:hint="eastAsia" w:ascii="宋体" w:hAnsi="宋体"/>
          <w:color w:val="auto"/>
          <w:sz w:val="24"/>
          <w:szCs w:val="24"/>
          <w:highlight w:val="none"/>
        </w:rPr>
        <w:t xml:space="preserve">电子签章</w:t>
      </w:r>
      <w:r>
        <w:rPr>
          <w:rStyle w:val="1250"/>
          <w:rFonts w:ascii="宋体" w:hAnsi="宋体"/>
          <w:color w:val="auto"/>
          <w:sz w:val="24"/>
          <w:highlight w:val="none"/>
        </w:rPr>
        <w:t xml:space="preserve">）：</w:t>
      </w:r>
      <w:r/>
    </w:p>
    <w:p>
      <w:pPr>
        <w:pStyle w:val="1000"/>
        <w:ind w:firstLine="3960"/>
        <w:jc w:val="left"/>
        <w:spacing w:line="400" w:lineRule="exact"/>
        <w:widowControl w:val="off"/>
        <w:rPr>
          <w:rStyle w:val="1250"/>
          <w:rFonts w:ascii="宋体" w:hAnsi="宋体"/>
          <w:color w:val="auto"/>
          <w:sz w:val="24"/>
          <w:highlight w:val="none"/>
        </w:rPr>
      </w:pPr>
      <w:r>
        <w:rPr>
          <w:rStyle w:val="1250"/>
          <w:rFonts w:ascii="宋体" w:hAnsi="宋体"/>
          <w:color w:val="auto"/>
          <w:sz w:val="24"/>
          <w:highlight w:val="none"/>
        </w:rPr>
        <w:t xml:space="preserve">法定代表人或授权代表（签字或盖章）：  </w:t>
      </w:r>
      <w:r/>
    </w:p>
    <w:p>
      <w:pPr>
        <w:pStyle w:val="1000"/>
        <w:ind w:firstLine="3960"/>
        <w:jc w:val="left"/>
        <w:spacing w:line="400" w:lineRule="exact"/>
        <w:widowControl w:val="off"/>
        <w:rPr>
          <w:rStyle w:val="1250"/>
          <w:rFonts w:hint="eastAsia" w:ascii="宋体" w:hAnsi="宋体"/>
          <w:color w:val="auto"/>
          <w:sz w:val="24"/>
          <w:szCs w:val="22"/>
          <w:highlight w:val="none"/>
          <w:lang w:val="en-US" w:eastAsia="zh-CN"/>
        </w:rPr>
      </w:pPr>
      <w:r>
        <w:rPr>
          <w:rStyle w:val="1250"/>
          <w:rFonts w:hint="eastAsia" w:ascii="宋体" w:hAnsi="宋体"/>
          <w:color w:val="auto"/>
          <w:sz w:val="24"/>
          <w:szCs w:val="22"/>
          <w:highlight w:val="none"/>
        </w:rPr>
        <w:t xml:space="preserve">日期：</w:t>
      </w:r>
      <w:r/>
    </w:p>
    <w:p>
      <w:pPr>
        <w:ind w:right="29"/>
        <w:jc w:val="center"/>
        <w:spacing w:line="360" w:lineRule="auto"/>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1013"/>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1014"/>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1016"/>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1057"/>
        <w:ind w:left="0" w:firstLine="0"/>
        <w:rPr>
          <w:rFonts w:hint="eastAsia"/>
          <w:highlight w:val="none"/>
          <w:lang w:val="en-US" w:eastAsia="zh-CN"/>
        </w:rPr>
      </w:pPr>
      <w:r>
        <w:rPr>
          <w:rFonts w:hint="eastAsia"/>
          <w:highlight w:val="none"/>
          <w:lang w:val="en-US" w:eastAsia="zh-CN"/>
        </w:rPr>
      </w:r>
      <w:r/>
    </w:p>
    <w:p>
      <w:pPr>
        <w:pStyle w:val="1057"/>
        <w:ind w:left="0" w:firstLine="0"/>
        <w:rPr>
          <w:rFonts w:hint="eastAsia"/>
          <w:highlight w:val="none"/>
          <w:lang w:val="en-US" w:eastAsia="zh-CN"/>
        </w:rPr>
      </w:pPr>
      <w:r>
        <w:rPr>
          <w:rFonts w:hint="eastAsia"/>
          <w:highlight w:val="none"/>
          <w:lang w:val="en-US" w:eastAsia="zh-CN"/>
        </w:rPr>
      </w:r>
      <w:r/>
    </w:p>
    <w:p>
      <w:pPr>
        <w:pStyle w:val="1057"/>
        <w:ind w:left="0" w:firstLine="0"/>
        <w:rPr>
          <w:rFonts w:hint="eastAsia"/>
          <w:highlight w:val="none"/>
          <w:lang w:val="en-US" w:eastAsia="zh-CN"/>
        </w:rPr>
      </w:pPr>
      <w:r>
        <w:rPr>
          <w:rFonts w:hint="eastAsia"/>
          <w:highlight w:val="none"/>
          <w:lang w:val="en-US" w:eastAsia="zh-CN"/>
        </w:rPr>
      </w:r>
      <w:r/>
    </w:p>
    <w:p>
      <w:pPr>
        <w:pStyle w:val="1057"/>
        <w:ind w:left="0" w:firstLine="0"/>
        <w:rPr>
          <w:rFonts w:hint="eastAsia"/>
          <w:highlight w:val="none"/>
          <w:lang w:val="en-US" w:eastAsia="zh-CN"/>
        </w:rPr>
      </w:pPr>
      <w:r>
        <w:rPr>
          <w:rFonts w:hint="eastAsia"/>
          <w:highlight w:val="none"/>
          <w:lang w:val="en-US" w:eastAsia="zh-CN"/>
        </w:rPr>
      </w:r>
      <w:r/>
    </w:p>
    <w:p>
      <w:pPr>
        <w:pStyle w:val="1000"/>
        <w:jc w:val="center"/>
        <w:spacing w:line="360" w:lineRule="auto"/>
        <w:rPr>
          <w:rFonts w:hint="eastAsia" w:ascii="宋体" w:hAnsi="宋体" w:cs="宋体"/>
          <w:b/>
          <w:sz w:val="24"/>
          <w:highlight w:val="none"/>
        </w:rPr>
      </w:pPr>
      <w:r>
        <w:rPr>
          <w:rStyle w:val="1227"/>
          <w:rFonts w:hint="eastAsia" w:ascii="宋体" w:hAnsi="宋体" w:cs="宋体"/>
          <w:sz w:val="24"/>
          <w:szCs w:val="24"/>
          <w:highlight w:val="none"/>
          <w:lang w:val="en-US" w:eastAsia="zh-CN"/>
        </w:rPr>
        <w:t xml:space="preserve">6</w:t>
      </w:r>
      <w:r>
        <w:rPr>
          <w:rStyle w:val="1227"/>
          <w:rFonts w:hint="eastAsia" w:ascii="宋体" w:hAnsi="宋体" w:cs="宋体"/>
          <w:sz w:val="24"/>
          <w:szCs w:val="24"/>
          <w:highlight w:val="none"/>
        </w:rPr>
        <w:t xml:space="preserve">、承诺书</w:t>
      </w:r>
      <w:r/>
    </w:p>
    <w:p>
      <w:pPr>
        <w:pStyle w:val="1000"/>
        <w:ind w:firstLine="472"/>
        <w:widowControl/>
        <w:rPr>
          <w:rFonts w:hint="eastAsia" w:ascii="宋体" w:hAnsi="宋体" w:eastAsia="宋体" w:cs="宋体"/>
          <w:sz w:val="24"/>
          <w:highlight w:val="none"/>
          <w:lang w:eastAsia="zh-CN"/>
        </w:rPr>
      </w:pPr>
      <w:r>
        <w:rPr>
          <w:rFonts w:hint="eastAsia" w:ascii="宋体" w:hAnsi="宋体" w:cs="宋体"/>
          <w:sz w:val="24"/>
          <w:highlight w:val="none"/>
        </w:rPr>
        <w:t xml:space="preserve">致：</w:t>
      </w:r>
      <w:r>
        <w:rPr>
          <w:rFonts w:hint="eastAsia" w:ascii="宋体" w:hAnsi="宋体" w:cs="宋体"/>
          <w:sz w:val="24"/>
          <w:highlight w:val="none"/>
          <w:lang w:eastAsia="zh-CN"/>
        </w:rPr>
        <w:t xml:space="preserve">江苏策聆建设管理有限公司</w:t>
      </w:r>
      <w:r/>
    </w:p>
    <w:p>
      <w:pPr>
        <w:pStyle w:val="1000"/>
        <w:ind w:firstLine="472"/>
        <w:widowControl/>
        <w:rPr>
          <w:rFonts w:hint="eastAsia" w:ascii="宋体" w:hAnsi="宋体" w:cs="宋体"/>
          <w:sz w:val="24"/>
          <w:highlight w:val="none"/>
        </w:rPr>
      </w:pPr>
      <w:r>
        <w:rPr>
          <w:rFonts w:hint="eastAsia" w:ascii="宋体" w:hAnsi="宋体" w:cs="宋体"/>
          <w:sz w:val="24"/>
          <w:highlight w:val="none"/>
        </w:rPr>
      </w:r>
      <w:r/>
    </w:p>
    <w:p>
      <w:pPr>
        <w:pStyle w:val="1000"/>
        <w:ind w:firstLine="472"/>
        <w:widowControl/>
        <w:rPr>
          <w:rFonts w:hint="eastAsia" w:ascii="宋体" w:hAnsi="宋体" w:cs="宋体"/>
          <w:sz w:val="24"/>
          <w:highlight w:val="none"/>
        </w:rPr>
      </w:pPr>
      <w:r>
        <w:rPr>
          <w:rFonts w:hint="eastAsia" w:ascii="宋体" w:hAnsi="宋体" w:cs="宋体"/>
          <w:sz w:val="24"/>
          <w:highlight w:val="none"/>
        </w:rPr>
        <w:t xml:space="preserve">根据贵方</w:t>
      </w:r>
      <w:r>
        <w:rPr>
          <w:rFonts w:hint="eastAsia" w:ascii="宋体" w:hAnsi="宋体" w:cs="宋体"/>
          <w:sz w:val="24"/>
          <w:highlight w:val="none"/>
          <w:lang w:eastAsia="zh-CN"/>
        </w:rPr>
        <w:t xml:space="preserve">淮塔园林供水管网改造工程</w:t>
      </w:r>
      <w:r>
        <w:rPr>
          <w:rFonts w:hint="eastAsia" w:ascii="宋体" w:hAnsi="宋体" w:cs="宋体"/>
          <w:sz w:val="24"/>
          <w:highlight w:val="none"/>
        </w:rPr>
        <w:t xml:space="preserve">《竞争性磋商文件》（项目编号：</w:t>
      </w:r>
      <w:r>
        <w:rPr>
          <w:rFonts w:hint="eastAsia" w:ascii="宋体" w:hAnsi="宋体" w:cs="宋体"/>
          <w:sz w:val="24"/>
          <w:highlight w:val="none"/>
          <w:lang w:eastAsia="zh-CN"/>
        </w:rPr>
        <w:t xml:space="preserve">JSZC-320300-JSCL-C2025-0006</w:t>
      </w:r>
      <w:r>
        <w:rPr>
          <w:rFonts w:hint="eastAsia" w:ascii="宋体" w:hAnsi="宋体" w:cs="宋体"/>
          <w:sz w:val="24"/>
          <w:highlight w:val="none"/>
        </w:rPr>
        <w:t xml:space="preserve">）要求，本供应商正式提交以下首次响应文件。</w:t>
      </w:r>
      <w:r/>
    </w:p>
    <w:p>
      <w:pPr>
        <w:pStyle w:val="1000"/>
        <w:numPr>
          <w:ilvl w:val="0"/>
          <w:numId w:val="0"/>
        </w:numPr>
        <w:ind w:firstLine="480"/>
        <w:widowControl/>
        <w:rPr>
          <w:rFonts w:hint="eastAsia" w:ascii="宋体" w:hAnsi="宋体" w:cs="宋体"/>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w:t>
      </w: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0" name="直接连接符 23"/>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sz w:val="24"/>
          <w:highlight w:val="none"/>
        </w:rPr>
        <w:t xml:space="preserve">承诺书；</w:t>
      </w:r>
      <w:r/>
    </w:p>
    <w:p>
      <w:pPr>
        <w:pStyle w:val="1000"/>
        <w:ind w:firstLine="472"/>
        <w:widowControl/>
        <w:rPr>
          <w:rFonts w:hint="eastAsia" w:ascii="宋体" w:hAnsi="宋体" w:cs="宋体"/>
          <w:highlight w:val="none"/>
        </w:rPr>
      </w:pPr>
      <w:r/>
      <w:bookmarkStart w:id="1" w:name="_Toc18272"/>
      <w:r/>
      <w:bookmarkStart w:id="2" w:name="_Toc27591"/>
      <w:r/>
      <w:bookmarkStart w:id="3" w:name="_Toc30031"/>
      <w:r/>
      <w:bookmarkStart w:id="4" w:name="_Toc29810"/>
      <w:r/>
      <w:bookmarkStart w:id="5" w:name="_Toc4915"/>
      <w:r/>
      <w:bookmarkStart w:id="6" w:name="_Toc18142"/>
      <w:r/>
      <w:bookmarkStart w:id="7" w:name="_Toc24561"/>
      <w:r/>
      <w:bookmarkStart w:id="8" w:name="_Toc20543"/>
      <w:r/>
      <w:bookmarkStart w:id="9" w:name="_Toc16644"/>
      <w:r>
        <w:rPr>
          <w:rFonts w:hint="eastAsia" w:ascii="宋体" w:hAnsi="宋体" w:cs="宋体"/>
          <w:sz w:val="24"/>
          <w:highlight w:val="none"/>
        </w:rPr>
        <w:t xml:space="preserve">（2）磋商报价表；</w:t>
      </w:r>
      <w:bookmarkEnd w:id="1"/>
      <w:r/>
      <w:bookmarkEnd w:id="2"/>
      <w:r/>
      <w:bookmarkEnd w:id="3"/>
      <w:r/>
      <w:bookmarkEnd w:id="4"/>
      <w:r/>
      <w:bookmarkEnd w:id="5"/>
      <w:r/>
      <w:bookmarkEnd w:id="6"/>
      <w:r/>
      <w:bookmarkEnd w:id="7"/>
      <w:r/>
      <w:bookmarkEnd w:id="8"/>
      <w:r/>
      <w:bookmarkEnd w:id="9"/>
      <w:r/>
      <w:r/>
    </w:p>
    <w:p>
      <w:pPr>
        <w:pStyle w:val="1000"/>
        <w:ind w:firstLine="472"/>
        <w:widowControl/>
        <w:rPr>
          <w:rFonts w:hint="eastAsia" w:ascii="宋体" w:hAnsi="宋体" w:cs="宋体"/>
          <w:sz w:val="24"/>
          <w:highlight w:val="none"/>
        </w:rPr>
      </w:pPr>
      <w:r/>
      <w:bookmarkStart w:id="10" w:name="_Toc15322"/>
      <w:r/>
      <w:bookmarkStart w:id="11" w:name="_Toc27728"/>
      <w:r/>
      <w:bookmarkStart w:id="12" w:name="_Toc20397"/>
      <w:r/>
      <w:bookmarkStart w:id="13" w:name="_Toc27515"/>
      <w:r/>
      <w:bookmarkStart w:id="14" w:name="_Toc5934"/>
      <w:r/>
      <w:bookmarkStart w:id="15" w:name="_Toc8339"/>
      <w:r/>
      <w:bookmarkStart w:id="16" w:name="_Toc28954"/>
      <w:r/>
      <w:bookmarkStart w:id="17" w:name="_Toc14011"/>
      <w:r/>
      <w:bookmarkStart w:id="18" w:name="_Toc26005"/>
      <w:r>
        <w:rPr>
          <w:rFonts w:hint="eastAsia" w:ascii="宋体" w:hAnsi="宋体" w:cs="宋体"/>
          <w:sz w:val="24"/>
          <w:highlight w:val="none"/>
        </w:rPr>
        <w:t xml:space="preserve">（3）偏离表；</w:t>
      </w:r>
      <w:bookmarkEnd w:id="10"/>
      <w:r/>
      <w:bookmarkEnd w:id="11"/>
      <w:r/>
      <w:bookmarkEnd w:id="12"/>
      <w:r/>
      <w:bookmarkEnd w:id="13"/>
      <w:r/>
      <w:bookmarkEnd w:id="14"/>
      <w:r/>
      <w:bookmarkEnd w:id="15"/>
      <w:r/>
      <w:bookmarkEnd w:id="16"/>
      <w:r/>
      <w:bookmarkEnd w:id="17"/>
      <w:r/>
      <w:bookmarkEnd w:id="18"/>
      <w:r/>
      <w:r/>
    </w:p>
    <w:p>
      <w:pPr>
        <w:pStyle w:val="1000"/>
        <w:ind w:firstLine="472"/>
        <w:widowControl/>
        <w:rPr>
          <w:rFonts w:hint="eastAsia" w:ascii="宋体" w:hAnsi="宋体" w:cs="宋体"/>
          <w:sz w:val="24"/>
          <w:highlight w:val="none"/>
        </w:rPr>
      </w:pPr>
      <w:r/>
      <w:bookmarkStart w:id="19" w:name="_Toc26904"/>
      <w:r/>
      <w:bookmarkStart w:id="20" w:name="_Toc24893"/>
      <w:r/>
      <w:bookmarkStart w:id="21" w:name="_Toc30830"/>
      <w:r/>
      <w:bookmarkStart w:id="22" w:name="_Toc1135"/>
      <w:r/>
      <w:bookmarkStart w:id="23" w:name="_Toc28413"/>
      <w:r/>
      <w:bookmarkStart w:id="24" w:name="_Toc22961"/>
      <w:r/>
      <w:bookmarkStart w:id="25" w:name="_Toc28220"/>
      <w:r/>
      <w:bookmarkStart w:id="26" w:name="_Toc2652"/>
      <w:r/>
      <w:bookmarkStart w:id="27" w:name="_Toc10380"/>
      <w:r>
        <w:rPr>
          <w:rFonts w:hint="eastAsia" w:ascii="宋体" w:hAnsi="宋体" w:cs="宋体"/>
          <w:sz w:val="24"/>
          <w:highlight w:val="none"/>
        </w:rPr>
        <w:t xml:space="preserve">（4）磋商文件要求提供的其他响应文件。</w:t>
      </w:r>
      <w:bookmarkEnd w:id="19"/>
      <w:r/>
      <w:bookmarkEnd w:id="20"/>
      <w:r/>
      <w:bookmarkEnd w:id="21"/>
      <w:r/>
      <w:bookmarkEnd w:id="22"/>
      <w:r/>
      <w:bookmarkEnd w:id="23"/>
      <w:r/>
      <w:bookmarkEnd w:id="24"/>
      <w:r/>
      <w:bookmarkEnd w:id="25"/>
      <w:r/>
      <w:bookmarkEnd w:id="26"/>
      <w:r/>
      <w:bookmarkEnd w:id="27"/>
      <w:r/>
      <w:r/>
    </w:p>
    <w:p>
      <w:pPr>
        <w:pStyle w:val="1000"/>
        <w:ind w:firstLine="472"/>
        <w:widowControl/>
        <w:rPr>
          <w:rFonts w:hint="eastAsia" w:ascii="宋体" w:hAnsi="宋体" w:cs="宋体"/>
          <w:sz w:val="24"/>
          <w:highlight w:val="none"/>
        </w:rPr>
      </w:pPr>
      <w:r>
        <w:rPr>
          <w:rFonts w:hint="eastAsia" w:ascii="宋体" w:hAnsi="宋体" w:cs="宋体"/>
          <w:sz w:val="24"/>
          <w:highlight w:val="none"/>
        </w:rPr>
        <w:t xml:space="preserve">我单位符合《中华人民共和国政府采购法》第二十二条的规定，符合本项目供应商资格要求。</w:t>
      </w:r>
      <w:r/>
    </w:p>
    <w:p>
      <w:pPr>
        <w:pStyle w:val="1000"/>
        <w:ind w:firstLine="472"/>
        <w:widowControl/>
        <w:rPr>
          <w:rFonts w:hint="eastAsia" w:ascii="宋体" w:hAnsi="宋体" w:cs="宋体"/>
          <w:sz w:val="24"/>
          <w:highlight w:val="none"/>
        </w:rPr>
      </w:pPr>
      <w:r>
        <w:rPr>
          <w:rFonts w:hint="eastAsia" w:ascii="宋体" w:hAnsi="宋体" w:cs="宋体"/>
          <w:sz w:val="24"/>
          <w:highlight w:val="none"/>
        </w:rPr>
        <w:t xml:space="preserve">我单位按照磋商文件的要求编制响应文件，并对其提交的响应文件的真实性、合法性承担法律责任。</w:t>
      </w:r>
      <w:r/>
    </w:p>
    <w:p>
      <w:pPr>
        <w:pStyle w:val="1000"/>
        <w:ind w:firstLine="472"/>
        <w:widowControl/>
        <w:rPr>
          <w:rFonts w:hint="eastAsia" w:ascii="宋体" w:hAnsi="宋体" w:cs="宋体"/>
          <w:sz w:val="24"/>
          <w:highlight w:val="none"/>
        </w:rPr>
      </w:pPr>
      <w:r>
        <w:rPr>
          <w:rFonts w:hint="eastAsia" w:ascii="宋体" w:hAnsi="宋体" w:cs="宋体"/>
          <w:sz w:val="24"/>
          <w:highlight w:val="none"/>
        </w:rPr>
        <w:t xml:space="preserve">供应商兹宣布同意如下: </w:t>
      </w:r>
      <w:r/>
    </w:p>
    <w:p>
      <w:pPr>
        <w:pStyle w:val="1000"/>
        <w:ind w:firstLine="472"/>
        <w:widowControl/>
        <w:rPr>
          <w:rFonts w:hint="eastAsia" w:ascii="宋体" w:hAnsi="宋体" w:cs="宋体"/>
          <w:sz w:val="24"/>
          <w:highlight w:val="none"/>
        </w:rPr>
      </w:pP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1" name="直接连接符 2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2" name="直接连接符 2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cs="宋体"/>
          <w:sz w:val="24"/>
          <w:highlight w:val="none"/>
        </w:rPr>
        <w:t xml:space="preserve">一、完全承担根据《竞争性磋商文件》规定完成合同的责任和义务（如有偏离，将全部填写在偏离表中）。</w:t>
      </w:r>
      <w:r/>
    </w:p>
    <w:p>
      <w:pPr>
        <w:pStyle w:val="1000"/>
        <w:ind w:firstLine="472"/>
        <w:widowControl/>
        <w:rPr>
          <w:rFonts w:hint="eastAsia" w:ascii="宋体" w:hAnsi="宋体" w:cs="宋体"/>
          <w:sz w:val="24"/>
          <w:highlight w:val="none"/>
        </w:rPr>
      </w:pP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2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a:effectLst/>
                      </wps:spPr>
                      <wps:bodyPr rot="0">
                        <a:prstTxWarp prst="textNoShape">
                          <a:avLst/>
                        </a:prstTxWarp>
                        <a:noAutofit/>
                      </wps:bodyPr>
                    </wps:wsp>
                  </a:graphicData>
                </a:graphic>
              </wp:anchor>
            </w:drawing>
          </mc:Choice>
          <mc:Fallback>
            <w:pict>
              <v:line id="shape 12" o:spid="_x0000_s12"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2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3" o:spid="_x0000_s13"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highlight w:val="none"/>
        </w:rPr>
        <w:t xml:space="preserve">二、保证所提供的响应文件及所有材料的真实、合法、有效，并对其负责。</w:t>
      </w:r>
      <w:r/>
    </w:p>
    <w:p>
      <w:pPr>
        <w:pStyle w:val="1000"/>
        <w:ind w:firstLine="472"/>
        <w:widowControl/>
        <w:rPr>
          <w:rFonts w:hint="eastAsia" w:ascii="宋体" w:hAnsi="宋体" w:cs="宋体"/>
          <w:sz w:val="24"/>
          <w:highlight w:val="none"/>
        </w:rPr>
      </w:pPr>
      <w:r>
        <w:rPr>
          <w:rFonts w:hint="eastAsia" w:ascii="宋体" w:hAnsi="宋体" w:cs="宋体"/>
          <w:sz w:val="24"/>
          <w:highlight w:val="none"/>
        </w:rPr>
        <w:t xml:space="preserve">三、已详细审核竞争性磋商文件（含竞争性磋商文件的澄清或者修改），本供应商完全理解并同意放弃对这方面不明及误解的权利。</w:t>
      </w:r>
      <w:r/>
    </w:p>
    <w:p>
      <w:pPr>
        <w:pStyle w:val="1000"/>
        <w:ind w:firstLine="472"/>
        <w:widowControl/>
        <w:rPr>
          <w:rFonts w:hint="eastAsia" w:ascii="宋体" w:hAnsi="宋体" w:cs="宋体"/>
          <w:sz w:val="24"/>
          <w:highlight w:val="none"/>
        </w:rPr>
      </w:pPr>
      <w:r>
        <w:rPr>
          <w:rFonts w:hint="eastAsia" w:ascii="宋体" w:hAnsi="宋体" w:cs="宋体"/>
          <w:sz w:val="24"/>
          <w:highlight w:val="none"/>
        </w:rPr>
        <w:t xml:space="preserve">四、所供服务保证符合国家有关产品质量、性能和安全标准，无权利瑕疵。</w:t>
      </w:r>
      <w:r/>
    </w:p>
    <w:p>
      <w:pPr>
        <w:pStyle w:val="1000"/>
        <w:ind w:firstLine="472"/>
        <w:widowControl/>
        <w:rPr>
          <w:rFonts w:hint="eastAsia" w:ascii="宋体" w:hAnsi="宋体" w:cs="宋体"/>
          <w:sz w:val="24"/>
          <w:highlight w:val="none"/>
        </w:rPr>
      </w:pPr>
      <w:r>
        <w:rPr>
          <w:rFonts w:hint="eastAsia" w:ascii="宋体" w:hAnsi="宋体" w:cs="宋体"/>
          <w:sz w:val="24"/>
          <w:highlight w:val="none"/>
        </w:rPr>
        <w:t xml:space="preserve">五、</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有效期为45日。</w:t>
      </w:r>
      <w:r/>
    </w:p>
    <w:p>
      <w:pPr>
        <w:pStyle w:val="1000"/>
        <w:ind w:firstLine="472"/>
        <w:widowControl/>
        <w:rPr>
          <w:rFonts w:hint="eastAsia" w:ascii="宋体" w:hAnsi="宋体" w:cs="宋体"/>
          <w:sz w:val="24"/>
          <w:highlight w:val="none"/>
        </w:rPr>
      </w:pPr>
      <w:r>
        <w:rPr>
          <w:rFonts w:hint="eastAsia" w:ascii="宋体" w:hAnsi="宋体" w:cs="宋体"/>
          <w:sz w:val="24"/>
          <w:highlight w:val="none"/>
          <w:lang w:val="en-US" w:eastAsia="zh-CN"/>
        </w:rPr>
        <w:t xml:space="preserve">六</w:t>
      </w:r>
      <w:r>
        <w:rPr>
          <w:rFonts w:hint="eastAsia" w:ascii="宋体" w:hAnsi="宋体" w:cs="宋体"/>
          <w:sz w:val="24"/>
          <w:highlight w:val="none"/>
        </w:rPr>
        <w:t xml:space="preserve">、同意向贵方提供贵方可能要求的与本次磋商采购有关的任何证据或资料。</w:t>
      </w:r>
      <w:r/>
    </w:p>
    <w:p>
      <w:pPr>
        <w:pStyle w:val="1000"/>
        <w:ind w:firstLine="472"/>
        <w:widowControl/>
        <w:rPr>
          <w:rFonts w:hint="eastAsia" w:ascii="宋体" w:hAnsi="宋体" w:cs="宋体"/>
          <w:sz w:val="24"/>
          <w:highlight w:val="none"/>
        </w:rPr>
      </w:pPr>
      <w:r>
        <w:rPr>
          <w:rFonts w:hint="eastAsia" w:ascii="宋体" w:hAnsi="宋体" w:cs="宋体"/>
          <w:sz w:val="24"/>
          <w:highlight w:val="none"/>
          <w:lang w:val="en-US" w:eastAsia="zh-CN"/>
        </w:rPr>
        <w:t xml:space="preserve">七</w:t>
      </w:r>
      <w:r>
        <w:rPr>
          <w:rFonts w:hint="eastAsia" w:ascii="宋体" w:hAnsi="宋体" w:cs="宋体"/>
          <w:sz w:val="24"/>
          <w:highlight w:val="none"/>
        </w:rPr>
        <w:t xml:space="preserve">、完全理解贵方不一定要接受最低的报价或收到的任何报价。</w:t>
      </w:r>
      <w:r/>
    </w:p>
    <w:p>
      <w:pPr>
        <w:pStyle w:val="1000"/>
        <w:ind w:firstLine="472"/>
        <w:widowControl/>
        <w:rPr>
          <w:rFonts w:hint="eastAsia" w:ascii="宋体" w:hAnsi="宋体" w:cs="宋体"/>
          <w:sz w:val="24"/>
          <w:highlight w:val="none"/>
        </w:rPr>
      </w:pPr>
      <w:r>
        <w:rPr>
          <w:rFonts w:hint="eastAsia" w:ascii="宋体" w:hAnsi="宋体" w:cs="宋体"/>
          <w:sz w:val="24"/>
          <w:highlight w:val="none"/>
          <w:lang w:val="en-US" w:eastAsia="zh-CN"/>
        </w:rPr>
        <w:t xml:space="preserve">八</w:t>
      </w:r>
      <w:r>
        <w:rPr>
          <w:rFonts w:hint="eastAsia" w:ascii="宋体" w:hAnsi="宋体" w:cs="宋体"/>
          <w:sz w:val="24"/>
          <w:highlight w:val="none"/>
        </w:rPr>
        <w:t xml:space="preserve">、</w:t>
      </w:r>
      <w:r>
        <w:rPr>
          <w:rFonts w:hint="eastAsia" w:ascii="宋体" w:hAnsi="宋体" w:cs="宋体"/>
          <w:sz w:val="24"/>
          <w:highlight w:val="none"/>
          <w:lang w:eastAsia="zh-CN"/>
        </w:rPr>
        <w:t xml:space="preserve">江苏策聆建设管理有限公司</w:t>
      </w:r>
      <w:r>
        <w:rPr>
          <w:rFonts w:hint="eastAsia" w:ascii="宋体" w:hAnsi="宋体" w:cs="宋体"/>
          <w:sz w:val="24"/>
          <w:highlight w:val="none"/>
        </w:rPr>
        <w:t xml:space="preserve">有权将我单位本项目的《磋商报价表》予以公示，公示的方式由</w:t>
      </w:r>
      <w:r>
        <w:rPr>
          <w:rFonts w:hint="eastAsia" w:ascii="宋体" w:hAnsi="宋体" w:cs="宋体"/>
          <w:sz w:val="24"/>
          <w:highlight w:val="none"/>
          <w:lang w:eastAsia="zh-CN"/>
        </w:rPr>
        <w:t xml:space="preserve">江苏策聆建设管理有限公司</w:t>
      </w:r>
      <w:r>
        <w:rPr>
          <w:rFonts w:hint="eastAsia" w:ascii="宋体" w:hAnsi="宋体" w:cs="宋体"/>
          <w:sz w:val="24"/>
          <w:highlight w:val="none"/>
        </w:rPr>
        <w:t xml:space="preserve">确定。</w:t>
      </w:r>
      <w:r/>
    </w:p>
    <w:p>
      <w:pPr>
        <w:pStyle w:val="1000"/>
        <w:ind w:firstLine="472"/>
        <w:rPr>
          <w:rFonts w:hint="eastAsia" w:ascii="宋体" w:hAnsi="宋体" w:cs="宋体"/>
          <w:sz w:val="24"/>
          <w:highlight w:val="none"/>
        </w:rPr>
      </w:pPr>
      <w:r>
        <w:rPr>
          <w:rFonts w:hint="eastAsia" w:ascii="宋体" w:hAnsi="宋体" w:cs="宋体"/>
          <w:sz w:val="24"/>
          <w:highlight w:val="none"/>
          <w:lang w:val="en-US" w:eastAsia="zh-CN"/>
        </w:rPr>
        <w:t xml:space="preserve">九</w:t>
      </w:r>
      <w:r>
        <w:rPr>
          <w:rFonts w:hint="eastAsia" w:ascii="宋体" w:hAnsi="宋体" w:cs="宋体"/>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00"/>
        <w:ind w:firstLine="472"/>
        <w:rPr>
          <w:rFonts w:hint="eastAsia" w:ascii="宋体" w:hAnsi="宋体" w:cs="宋体"/>
          <w:sz w:val="24"/>
          <w:highlight w:val="none"/>
        </w:rPr>
      </w:pPr>
      <w:r>
        <w:rPr>
          <w:rFonts w:hint="eastAsia" w:ascii="宋体" w:hAnsi="宋体" w:cs="宋体"/>
          <w:sz w:val="24"/>
          <w:highlight w:val="none"/>
        </w:rPr>
      </w:r>
      <w:r/>
    </w:p>
    <w:p>
      <w:pPr>
        <w:pStyle w:val="1000"/>
        <w:widowControl/>
        <w:rPr>
          <w:rFonts w:hint="eastAsia" w:ascii="宋体" w:hAnsi="宋体" w:cs="宋体"/>
          <w:sz w:val="24"/>
          <w:highlight w:val="none"/>
        </w:rPr>
      </w:pPr>
      <w:r>
        <w:rPr>
          <w:rFonts w:hint="eastAsia" w:ascii="宋体" w:hAnsi="宋体" w:cs="宋体"/>
          <w:sz w:val="24"/>
          <w:highlight w:val="none"/>
        </w:rPr>
      </w:r>
      <w:r/>
    </w:p>
    <w:p>
      <w:pPr>
        <w:pStyle w:val="999"/>
        <w:rPr>
          <w:rFonts w:hint="eastAsia" w:ascii="宋体" w:hAnsi="宋体" w:cs="宋体"/>
          <w:sz w:val="24"/>
          <w:highlight w:val="none"/>
        </w:rPr>
      </w:pPr>
      <w:r>
        <w:rPr>
          <w:rFonts w:hint="eastAsia" w:ascii="宋体" w:hAnsi="宋体" w:cs="宋体"/>
          <w:sz w:val="24"/>
          <w:highlight w:val="none"/>
        </w:rPr>
      </w:r>
      <w:r/>
    </w:p>
    <w:p>
      <w:pPr>
        <w:pStyle w:val="1000"/>
        <w:ind w:firstLine="472"/>
        <w:widowControl/>
        <w:rPr>
          <w:rFonts w:hint="eastAsia" w:ascii="宋体" w:hAnsi="宋体" w:cs="宋体"/>
          <w:sz w:val="24"/>
          <w:highlight w:val="none"/>
        </w:rPr>
      </w:pPr>
      <w:r>
        <w:rPr>
          <w:rFonts w:hint="eastAsia" w:ascii="宋体" w:hAnsi="宋体" w:cs="宋体"/>
          <w:sz w:val="24"/>
          <w:highlight w:val="none"/>
        </w:rPr>
        <w:t xml:space="preserve">供应商（电子签章）：</w:t>
      </w:r>
      <w:r/>
    </w:p>
    <w:p>
      <w:pPr>
        <w:pStyle w:val="1000"/>
        <w:ind w:firstLine="472"/>
        <w:widowControl/>
        <w:rPr>
          <w:rFonts w:hint="eastAsia" w:ascii="宋体" w:hAnsi="宋体" w:cs="宋体"/>
          <w:sz w:val="24"/>
          <w:highlight w:val="none"/>
        </w:rPr>
      </w:pPr>
      <w:r>
        <w:rPr>
          <w:rFonts w:hint="eastAsia" w:ascii="宋体" w:hAnsi="宋体" w:cs="宋体"/>
          <w:sz w:val="24"/>
          <w:highlight w:val="none"/>
        </w:rPr>
        <w:t xml:space="preserve">              </w:t>
      </w:r>
      <w:r/>
    </w:p>
    <w:p>
      <w:pPr>
        <w:pStyle w:val="1000"/>
        <w:ind w:firstLine="472"/>
        <w:widowControl/>
        <w:rPr>
          <w:rFonts w:hint="eastAsia" w:ascii="宋体" w:hAnsi="宋体" w:cs="宋体"/>
          <w:sz w:val="24"/>
          <w:highlight w:val="none"/>
        </w:rPr>
      </w:pPr>
      <w:r>
        <w:rPr>
          <w:rFonts w:hint="eastAsia" w:ascii="宋体" w:hAnsi="宋体" w:cs="宋体"/>
          <w:sz w:val="24"/>
          <w:highlight w:val="none"/>
        </w:rPr>
        <w:t xml:space="preserve">法定代表人或授权代表（签字或盖章）：  </w:t>
      </w:r>
      <w:r/>
    </w:p>
    <w:p>
      <w:pPr>
        <w:pStyle w:val="1000"/>
        <w:ind w:firstLine="472"/>
        <w:widowControl/>
        <w:rPr>
          <w:rFonts w:hint="eastAsia" w:ascii="宋体" w:hAnsi="宋体" w:cs="宋体"/>
          <w:sz w:val="24"/>
          <w:highlight w:val="none"/>
        </w:rPr>
      </w:pPr>
      <w:r>
        <w:rPr>
          <w:rFonts w:hint="eastAsia" w:ascii="宋体" w:hAnsi="宋体" w:cs="宋体"/>
          <w:sz w:val="24"/>
          <w:highlight w:val="none"/>
        </w:rPr>
        <w:t xml:space="preserve">              </w:t>
      </w:r>
      <w:r/>
    </w:p>
    <w:p>
      <w:pPr>
        <w:pStyle w:val="1000"/>
        <w:ind w:firstLine="472"/>
        <w:widowControl/>
        <w:rPr>
          <w:rFonts w:hint="eastAsia" w:ascii="宋体" w:hAnsi="宋体" w:cs="宋体"/>
          <w:sz w:val="24"/>
          <w:highlight w:val="none"/>
        </w:rPr>
      </w:pPr>
      <w:r>
        <w:rPr>
          <w:rFonts w:hint="eastAsia" w:ascii="宋体" w:hAnsi="宋体" w:cs="宋体"/>
          <w:sz w:val="24"/>
          <w:highlight w:val="none"/>
        </w:rPr>
        <w:t xml:space="preserve">联系电话：</w:t>
      </w:r>
      <w:r/>
    </w:p>
    <w:p>
      <w:pPr>
        <w:pStyle w:val="1000"/>
        <w:ind w:firstLine="472"/>
        <w:widowControl/>
        <w:rPr>
          <w:rFonts w:hint="eastAsia" w:ascii="宋体" w:hAnsi="宋体" w:cs="宋体"/>
          <w:sz w:val="24"/>
          <w:highlight w:val="none"/>
        </w:rPr>
      </w:pPr>
      <w:r>
        <w:rPr>
          <w:rFonts w:hint="eastAsia" w:ascii="宋体" w:hAnsi="宋体" w:cs="宋体"/>
          <w:sz w:val="24"/>
          <w:highlight w:val="none"/>
        </w:rPr>
        <w:t xml:space="preserve">              </w:t>
      </w:r>
      <w:r/>
    </w:p>
    <w:p>
      <w:pPr>
        <w:pStyle w:val="1000"/>
        <w:ind w:firstLine="472"/>
        <w:widowControl/>
        <w:rPr>
          <w:rFonts w:hint="eastAsia" w:ascii="宋体" w:hAnsi="宋体" w:cs="宋体"/>
          <w:sz w:val="24"/>
          <w:highlight w:val="none"/>
        </w:rPr>
      </w:pPr>
      <w:r>
        <w:rPr>
          <w:rFonts w:hint="eastAsia" w:ascii="宋体" w:hAnsi="宋体" w:cs="宋体"/>
          <w:sz w:val="24"/>
          <w:highlight w:val="none"/>
        </w:rPr>
        <w:t xml:space="preserve">日期：</w:t>
      </w:r>
      <w:r>
        <w:rPr>
          <w:rFonts w:hint="eastAsia" w:ascii="宋体" w:hAnsi="宋体" w:cs="宋体"/>
          <w:sz w:val="24"/>
          <w:highlight w:val="none"/>
        </w:rPr>
        <w:br w:type="page" w:clear="all"/>
      </w:r>
      <w:r/>
    </w:p>
    <w:p>
      <w:pPr>
        <w:pStyle w:val="1054"/>
        <w:numPr>
          <w:ilvl w:val="0"/>
          <w:numId w:val="0"/>
        </w:numPr>
        <w:rPr>
          <w:rFonts w:hint="eastAsia"/>
          <w:highlight w:val="none"/>
        </w:rPr>
      </w:pPr>
      <w:r>
        <w:rPr>
          <w:rFonts w:hint="eastAsia"/>
          <w:highlight w:val="none"/>
        </w:rPr>
      </w:r>
      <w:r/>
    </w:p>
    <w:p>
      <w:pPr>
        <w:pStyle w:val="1253"/>
        <w:jc w:val="center"/>
        <w:keepLines w:val="0"/>
        <w:keepNext w:val="0"/>
        <w:widowControl w:val="off"/>
        <w:rPr>
          <w:rStyle w:val="1250"/>
          <w:rFonts w:ascii="宋体" w:hAnsi="宋体"/>
          <w:color w:val="auto"/>
          <w:sz w:val="28"/>
          <w:highlight w:val="none"/>
        </w:rPr>
      </w:pPr>
      <w:r/>
      <w:bookmarkStart w:id="28" w:name="_Toc23619"/>
      <w:r/>
      <w:bookmarkStart w:id="29" w:name="_Toc20926"/>
      <w:r/>
      <w:bookmarkStart w:id="30" w:name="_Toc31803"/>
      <w:r/>
      <w:bookmarkStart w:id="31" w:name="_Toc15508"/>
      <w:r/>
      <w:bookmarkStart w:id="32" w:name="_Toc13867"/>
      <w:r/>
      <w:bookmarkStart w:id="33" w:name="_Toc20703"/>
      <w:r/>
      <w:bookmarkStart w:id="34" w:name="_Toc3776"/>
      <w:r>
        <w:rPr>
          <w:rStyle w:val="1250"/>
          <w:rFonts w:hint="eastAsia" w:ascii="宋体" w:hAnsi="宋体"/>
          <w:color w:val="auto"/>
          <w:sz w:val="28"/>
          <w:highlight w:val="none"/>
          <w:lang w:val="en-US"/>
        </w:rPr>
        <w:t xml:space="preserve">7</w:t>
      </w:r>
      <w:r>
        <w:rPr>
          <w:rStyle w:val="1250"/>
          <w:rFonts w:ascii="宋体" w:hAnsi="宋体"/>
          <w:color w:val="auto"/>
          <w:sz w:val="28"/>
          <w:highlight w:val="none"/>
        </w:rPr>
        <w:t xml:space="preserve">、授权委托书</w:t>
      </w:r>
      <w:bookmarkEnd w:id="28"/>
      <w:r/>
      <w:bookmarkEnd w:id="29"/>
      <w:r/>
      <w:bookmarkEnd w:id="30"/>
      <w:r/>
      <w:bookmarkEnd w:id="31"/>
      <w:r/>
      <w:bookmarkEnd w:id="32"/>
      <w:r/>
      <w:bookmarkEnd w:id="33"/>
      <w:r/>
      <w:bookmarkEnd w:id="34"/>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t xml:space="preserve">委托人（全称）：</w:t>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t xml:space="preserve">地  址：</w:t>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t xml:space="preserve">法定代表人：               </w:t>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t xml:space="preserve">法人营业执照注册号（统一社会信用代码）：</w:t>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t xml:space="preserve">受托人：                  先生（女士）  </w:t>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lang w:val="en-US" w:eastAsia="zh-CN"/>
        </w:rPr>
        <w:t xml:space="preserve">               </w:t>
      </w:r>
      <w:r>
        <w:rPr>
          <w:rFonts w:hint="eastAsia" w:ascii="仿宋" w:hAnsi="仿宋" w:eastAsia="仿宋" w:cs="仿宋"/>
          <w:b/>
          <w:bCs/>
          <w:sz w:val="24"/>
          <w:highlight w:val="none"/>
          <w:lang w:val="en-US" w:eastAsia="zh-CN"/>
        </w:rPr>
        <w:t xml:space="preserve">（注：此处应为手机号码，并保持畅通）</w:t>
      </w:r>
      <w:r>
        <w:rPr>
          <w:rFonts w:hint="eastAsia" w:ascii="宋体" w:hAnsi="宋体" w:cs="宋体"/>
          <w:sz w:val="24"/>
          <w:highlight w:val="none"/>
        </w:rPr>
        <w:t xml:space="preserve">                     </w:t>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t xml:space="preserve">身份证号：</w:t>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t xml:space="preserve">兹委托（           ）全权代表我企业（公司）参与</w:t>
      </w:r>
      <w:r>
        <w:rPr>
          <w:rFonts w:hint="eastAsia" w:ascii="宋体" w:hAnsi="宋体" w:cs="宋体"/>
          <w:sz w:val="24"/>
          <w:highlight w:val="none"/>
          <w:lang w:eastAsia="zh-CN"/>
        </w:rPr>
        <w:t xml:space="preserve">淮塔园林供水管网改造工程</w:t>
      </w:r>
      <w:r>
        <w:rPr>
          <w:rFonts w:hint="eastAsia" w:ascii="宋体" w:hAnsi="宋体" w:cs="宋体"/>
          <w:sz w:val="24"/>
          <w:highlight w:val="none"/>
        </w:rPr>
        <w:t xml:space="preserve">[项目编号：      ]的磋商活动。（           ）以我单位名义所为的行为及签署的文件，我单位均予以认可。有关法律责任均由我单位承担。（           ）无转委托权。</w:t>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t xml:space="preserve">委托期限自     年   月  日起至    年   月   日止。</w:t>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t xml:space="preserve">委托人（电子签章）：</w:t>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t xml:space="preserve">法定代表人（签字或盖章）：</w:t>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pStyle w:val="1000"/>
        <w:spacing w:line="400" w:lineRule="exact"/>
        <w:rPr>
          <w:rFonts w:hint="eastAsia" w:ascii="宋体" w:hAnsi="宋体" w:cs="宋体"/>
          <w:sz w:val="24"/>
          <w:highlight w:val="none"/>
        </w:rPr>
      </w:pPr>
      <w:r>
        <w:rPr>
          <w:rFonts w:hint="eastAsia" w:ascii="宋体" w:hAnsi="宋体" w:cs="宋体"/>
          <w:sz w:val="24"/>
          <w:highlight w:val="none"/>
        </w:rPr>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t xml:space="preserve">受托人（签字或盖章）：</w:t>
      </w:r>
      <w:r/>
    </w:p>
    <w:p>
      <w:pPr>
        <w:pStyle w:val="1000"/>
        <w:spacing w:line="400" w:lineRule="exact"/>
        <w:rPr>
          <w:rFonts w:hint="eastAsia" w:ascii="宋体" w:hAnsi="宋体" w:cs="宋体"/>
          <w:sz w:val="24"/>
          <w:highlight w:val="none"/>
        </w:rPr>
      </w:pPr>
      <w:r>
        <w:rPr>
          <w:rFonts w:hint="eastAsia" w:ascii="宋体" w:hAnsi="宋体" w:cs="宋体"/>
          <w:sz w:val="24"/>
          <w:highlight w:val="none"/>
        </w:rPr>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1000"/>
        <w:ind w:firstLine="472"/>
        <w:spacing w:line="400" w:lineRule="exact"/>
        <w:rPr>
          <w:rFonts w:hint="eastAsia" w:ascii="宋体" w:hAnsi="宋体" w:cs="宋体"/>
          <w:sz w:val="24"/>
          <w:highlight w:val="none"/>
        </w:rPr>
      </w:pPr>
      <w:r>
        <w:rPr>
          <w:rFonts w:hint="eastAsia" w:ascii="宋体" w:hAnsi="宋体" w:cs="宋体"/>
          <w:sz w:val="24"/>
          <w:highlight w:val="none"/>
        </w:rPr>
        <w:t xml:space="preserve">(受托人身份证正反面附后)</w:t>
      </w:r>
      <w:r/>
    </w:p>
    <w:p>
      <w:pPr>
        <w:ind w:right="29"/>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ind w:right="29"/>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1027"/>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rPr>
          <w:rFonts w:hint="eastAsia"/>
          <w:highlight w:val="none"/>
          <w:lang w:val="en-US" w:eastAsia="zh-CN"/>
        </w:rPr>
      </w:pPr>
      <w:r>
        <w:rPr>
          <w:rFonts w:hint="eastAsia"/>
          <w:highlight w:val="none"/>
          <w:lang w:val="en-US" w:eastAsia="zh-CN"/>
        </w:rPr>
      </w:r>
      <w:r/>
    </w:p>
    <w:p>
      <w:pPr>
        <w:pStyle w:val="1253"/>
        <w:jc w:val="center"/>
        <w:keepLines w:val="0"/>
        <w:keepNext w:val="0"/>
        <w:spacing w:before="0" w:after="0" w:line="360" w:lineRule="auto"/>
        <w:widowControl w:val="off"/>
        <w:rPr>
          <w:rStyle w:val="1250"/>
          <w:rFonts w:ascii="宋体" w:hAnsi="宋体"/>
          <w:color w:val="auto"/>
          <w:sz w:val="28"/>
          <w:highlight w:val="none"/>
        </w:rPr>
      </w:pPr>
      <w:r/>
      <w:bookmarkStart w:id="35" w:name="_Toc17851"/>
      <w:r/>
      <w:bookmarkStart w:id="36" w:name="_Toc19074"/>
      <w:r/>
      <w:bookmarkStart w:id="37" w:name="_Toc9856"/>
      <w:r/>
      <w:bookmarkStart w:id="38" w:name="_Toc2778"/>
      <w:r/>
      <w:bookmarkStart w:id="39" w:name="_Toc14736"/>
      <w:r>
        <w:rPr>
          <w:rStyle w:val="1250"/>
          <w:rFonts w:hint="eastAsia" w:ascii="宋体" w:hAnsi="宋体"/>
          <w:color w:val="auto"/>
          <w:sz w:val="28"/>
          <w:highlight w:val="none"/>
          <w:lang w:val="en-US"/>
        </w:rPr>
        <w:t xml:space="preserve">8</w:t>
      </w:r>
      <w:r>
        <w:rPr>
          <w:rStyle w:val="1250"/>
          <w:rFonts w:ascii="宋体" w:hAnsi="宋体"/>
          <w:color w:val="auto"/>
          <w:sz w:val="28"/>
          <w:highlight w:val="none"/>
        </w:rPr>
        <w:t xml:space="preserve">、供应商参加政府采购活动前三年内在经营活动中</w:t>
      </w:r>
      <w:bookmarkStart w:id="40" w:name="_Toc16176"/>
      <w:r>
        <w:rPr>
          <w:rStyle w:val="1250"/>
          <w:rFonts w:ascii="宋体" w:hAnsi="宋体"/>
          <w:color w:val="auto"/>
          <w:sz w:val="28"/>
          <w:highlight w:val="none"/>
        </w:rPr>
        <w:t xml:space="preserve">没有重大违法记录的书面声明</w:t>
      </w:r>
      <w:bookmarkEnd w:id="35"/>
      <w:r/>
      <w:bookmarkEnd w:id="36"/>
      <w:r/>
      <w:bookmarkEnd w:id="37"/>
      <w:r/>
      <w:bookmarkEnd w:id="38"/>
      <w:r/>
      <w:bookmarkEnd w:id="39"/>
      <w:r/>
      <w:bookmarkEnd w:id="40"/>
      <w:r/>
      <w:r/>
    </w:p>
    <w:p>
      <w:pPr>
        <w:pStyle w:val="1000"/>
        <w:jc w:val="left"/>
        <w:spacing w:line="360" w:lineRule="auto"/>
        <w:widowControl w:val="off"/>
        <w:rPr>
          <w:rStyle w:val="1250"/>
          <w:rFonts w:ascii="宋体" w:hAnsi="宋体"/>
          <w:color w:val="auto"/>
          <w:sz w:val="24"/>
          <w:highlight w:val="none"/>
        </w:rPr>
      </w:pPr>
      <w:r>
        <w:rPr>
          <w:rFonts w:ascii="宋体" w:hAnsi="宋体"/>
          <w:color w:val="auto"/>
          <w:sz w:val="24"/>
          <w:highlight w:val="none"/>
        </w:rPr>
      </w:r>
      <w:r/>
    </w:p>
    <w:p>
      <w:pPr>
        <w:pStyle w:val="1000"/>
        <w:ind w:firstLine="480"/>
        <w:jc w:val="left"/>
        <w:spacing w:line="480" w:lineRule="auto"/>
        <w:widowControl w:val="off"/>
        <w:rPr>
          <w:rStyle w:val="1250"/>
          <w:rFonts w:ascii="宋体" w:hAnsi="宋体"/>
          <w:color w:val="auto"/>
          <w:sz w:val="24"/>
          <w:highlight w:val="none"/>
        </w:rPr>
      </w:pPr>
      <w:r>
        <w:rPr>
          <w:rStyle w:val="1250"/>
          <w:rFonts w:ascii="宋体" w:hAnsi="宋体"/>
          <w:color w:val="auto"/>
          <w:sz w:val="24"/>
          <w:highlight w:val="none"/>
        </w:rPr>
        <w:t xml:space="preserve">我单位在参加</w:t>
      </w:r>
      <w:r>
        <w:rPr>
          <w:rStyle w:val="1250"/>
          <w:rFonts w:ascii="宋体" w:hAnsi="宋体"/>
          <w:color w:val="auto"/>
          <w:sz w:val="24"/>
          <w:highlight w:val="none"/>
          <w:u w:val="single"/>
        </w:rPr>
        <w:t xml:space="preserve"> </w:t>
      </w:r>
      <w:r>
        <w:rPr>
          <w:rStyle w:val="1250"/>
          <w:rFonts w:hint="eastAsia" w:ascii="宋体" w:hAnsi="宋体"/>
          <w:color w:val="auto"/>
          <w:sz w:val="24"/>
          <w:highlight w:val="none"/>
          <w:u w:val="single"/>
        </w:rPr>
        <w:t xml:space="preserve">淮塔园林供水管网改造工程</w:t>
      </w:r>
      <w:r>
        <w:rPr>
          <w:rStyle w:val="1250"/>
          <w:rFonts w:ascii="宋体" w:hAnsi="宋体"/>
          <w:color w:val="auto"/>
          <w:sz w:val="24"/>
          <w:highlight w:val="none"/>
          <w:u w:val="single"/>
        </w:rPr>
        <w:t xml:space="preserve"> </w:t>
      </w:r>
      <w:r>
        <w:rPr>
          <w:rStyle w:val="1250"/>
          <w:rFonts w:ascii="宋体" w:hAnsi="宋体"/>
          <w:color w:val="auto"/>
          <w:sz w:val="24"/>
          <w:highlight w:val="none"/>
        </w:rPr>
        <w:t xml:space="preserve">[项目编号：</w:t>
      </w:r>
      <w:r>
        <w:rPr>
          <w:rStyle w:val="1250"/>
          <w:rFonts w:hint="eastAsia" w:ascii="宋体" w:hAnsi="宋体"/>
          <w:color w:val="auto"/>
          <w:sz w:val="24"/>
          <w:highlight w:val="none"/>
        </w:rPr>
        <w:t xml:space="preserve">JSZC-320300-JSCL-C2025-0006</w:t>
      </w:r>
      <w:r>
        <w:rPr>
          <w:rStyle w:val="1250"/>
          <w:rFonts w:ascii="宋体" w:hAnsi="宋体"/>
          <w:color w:val="auto"/>
          <w:sz w:val="24"/>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1000"/>
        <w:ind w:firstLine="480"/>
        <w:jc w:val="left"/>
        <w:keepLines w:val="0"/>
        <w:keepNext w:val="0"/>
        <w:pageBreakBefore w:val="0"/>
        <w:spacing w:line="480" w:lineRule="auto"/>
        <w:widowControl w:val="off"/>
        <w:rPr>
          <w:rStyle w:val="1250"/>
          <w:rFonts w:ascii="宋体" w:hAnsi="宋体"/>
          <w:color w:val="auto"/>
          <w:sz w:val="24"/>
          <w:highlight w:val="none"/>
        </w:rPr>
        <w:outlineLvl w:val="9"/>
      </w:pPr>
      <w:r>
        <w:rPr>
          <w:rStyle w:val="1250"/>
          <w:rFonts w:ascii="宋体" w:hAnsi="宋体"/>
          <w:color w:val="auto"/>
          <w:sz w:val="24"/>
          <w:highlight w:val="none"/>
        </w:rPr>
        <w:t xml:space="preserve">我单位对上述声明的真实性负责。如有虚假，将依法承担相应责任。</w:t>
      </w:r>
      <w:r/>
    </w:p>
    <w:p>
      <w:pPr>
        <w:pStyle w:val="1000"/>
        <w:jc w:val="left"/>
        <w:spacing w:line="360" w:lineRule="auto"/>
        <w:widowControl w:val="off"/>
        <w:rPr>
          <w:rStyle w:val="1250"/>
          <w:rFonts w:ascii="宋体" w:hAnsi="宋体"/>
          <w:color w:val="auto"/>
          <w:sz w:val="24"/>
          <w:highlight w:val="none"/>
        </w:rPr>
      </w:pPr>
      <w:r>
        <w:rPr>
          <w:rFonts w:ascii="宋体" w:hAnsi="宋体"/>
          <w:color w:val="auto"/>
          <w:sz w:val="24"/>
          <w:highlight w:val="none"/>
        </w:rPr>
      </w:r>
      <w:r/>
    </w:p>
    <w:p>
      <w:pPr>
        <w:pStyle w:val="1000"/>
        <w:jc w:val="left"/>
        <w:spacing w:line="360" w:lineRule="auto"/>
        <w:widowControl w:val="off"/>
        <w:rPr>
          <w:rStyle w:val="1250"/>
          <w:rFonts w:ascii="宋体" w:hAnsi="宋体"/>
          <w:color w:val="auto"/>
          <w:sz w:val="24"/>
          <w:highlight w:val="none"/>
        </w:rPr>
      </w:pPr>
      <w:r>
        <w:rPr>
          <w:rFonts w:ascii="宋体" w:hAnsi="宋体"/>
          <w:color w:val="auto"/>
          <w:sz w:val="24"/>
          <w:highlight w:val="none"/>
        </w:rPr>
      </w:r>
      <w:r/>
    </w:p>
    <w:p>
      <w:pPr>
        <w:pStyle w:val="1000"/>
        <w:jc w:val="left"/>
        <w:spacing w:line="360" w:lineRule="auto"/>
        <w:widowControl w:val="off"/>
        <w:rPr>
          <w:rStyle w:val="1250"/>
          <w:rFonts w:ascii="宋体" w:hAnsi="宋体"/>
          <w:color w:val="auto"/>
          <w:sz w:val="24"/>
          <w:highlight w:val="none"/>
        </w:rPr>
      </w:pPr>
      <w:r>
        <w:rPr>
          <w:rStyle w:val="1250"/>
          <w:rFonts w:ascii="宋体" w:hAnsi="宋体"/>
          <w:color w:val="auto"/>
          <w:sz w:val="24"/>
          <w:highlight w:val="none"/>
        </w:rPr>
        <w:t xml:space="preserve">                           供应商（</w:t>
      </w:r>
      <w:r>
        <w:rPr>
          <w:rStyle w:val="1250"/>
          <w:rFonts w:hint="eastAsia" w:ascii="宋体" w:hAnsi="宋体"/>
          <w:color w:val="auto"/>
          <w:sz w:val="24"/>
          <w:szCs w:val="24"/>
          <w:highlight w:val="none"/>
        </w:rPr>
        <w:t xml:space="preserve">电子签章</w:t>
      </w:r>
      <w:r>
        <w:rPr>
          <w:rStyle w:val="1250"/>
          <w:rFonts w:ascii="宋体" w:hAnsi="宋体"/>
          <w:color w:val="auto"/>
          <w:sz w:val="24"/>
          <w:highlight w:val="none"/>
        </w:rPr>
        <w:t xml:space="preserve">）：</w:t>
      </w:r>
      <w:r/>
    </w:p>
    <w:p>
      <w:pPr>
        <w:pStyle w:val="1000"/>
        <w:jc w:val="left"/>
        <w:spacing w:line="360" w:lineRule="auto"/>
        <w:widowControl w:val="off"/>
        <w:rPr>
          <w:rStyle w:val="1250"/>
          <w:rFonts w:ascii="宋体" w:hAnsi="宋体"/>
          <w:color w:val="auto"/>
          <w:sz w:val="24"/>
          <w:highlight w:val="none"/>
        </w:rPr>
      </w:pPr>
      <w:r>
        <w:rPr>
          <w:rStyle w:val="1250"/>
          <w:rFonts w:ascii="宋体" w:hAnsi="宋体"/>
          <w:color w:val="auto"/>
          <w:sz w:val="24"/>
          <w:highlight w:val="none"/>
        </w:rPr>
        <w:t xml:space="preserve">                           </w:t>
      </w:r>
      <w:r>
        <w:rPr>
          <w:rFonts w:ascii="宋体" w:hAnsi="宋体"/>
          <w:color w:val="auto"/>
          <w:sz w:val="24"/>
          <w:szCs w:val="24"/>
          <w:highlight w:val="none"/>
        </w:rPr>
        <w:t xml:space="preserve">法定代表人或授权代表</w:t>
      </w:r>
      <w:r>
        <w:rPr>
          <w:rStyle w:val="1250"/>
          <w:rFonts w:ascii="宋体" w:hAnsi="宋体"/>
          <w:color w:val="auto"/>
          <w:sz w:val="24"/>
          <w:highlight w:val="none"/>
        </w:rPr>
        <w:t xml:space="preserve">（签字或盖章）：  </w:t>
      </w:r>
      <w:r/>
    </w:p>
    <w:p>
      <w:pPr>
        <w:pStyle w:val="1000"/>
        <w:jc w:val="left"/>
        <w:spacing w:line="360" w:lineRule="auto"/>
        <w:widowControl w:val="off"/>
        <w:rPr>
          <w:rFonts w:ascii="宋体" w:hAnsi="宋体"/>
          <w:color w:val="auto"/>
          <w:sz w:val="24"/>
          <w:highlight w:val="none"/>
        </w:rPr>
      </w:pPr>
      <w:r>
        <w:rPr>
          <w:rStyle w:val="1250"/>
          <w:rFonts w:ascii="宋体" w:hAnsi="宋体"/>
          <w:color w:val="auto"/>
          <w:sz w:val="24"/>
          <w:highlight w:val="none"/>
        </w:rPr>
        <w:t xml:space="preserve">                           日期： </w:t>
      </w:r>
      <w:r/>
    </w:p>
    <w:p>
      <w:pPr>
        <w:pStyle w:val="1226"/>
        <w:spacing w:before="0" w:beforeAutospacing="0" w:after="0" w:afterAutospacing="0" w:line="360" w:lineRule="auto"/>
        <w:widowControl w:val="off"/>
        <w:rPr>
          <w:rFonts w:hint="eastAsia" w:ascii="宋体" w:hAnsi="宋体" w:cs="宋体"/>
          <w:sz w:val="18"/>
          <w:szCs w:val="18"/>
          <w:highlight w:val="none"/>
        </w:rPr>
      </w:pPr>
      <w:r>
        <w:rPr>
          <w:rFonts w:hint="eastAsia" w:ascii="宋体" w:hAnsi="宋体" w:cs="宋体"/>
          <w:sz w:val="18"/>
          <w:szCs w:val="18"/>
          <w:highlight w:val="none"/>
        </w:rPr>
      </w:r>
      <w:r/>
    </w:p>
    <w:p>
      <w:pPr>
        <w:ind w:right="29"/>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1013"/>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1014"/>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1016"/>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1054"/>
        <w:numPr>
          <w:ilvl w:val="0"/>
          <w:numId w:val="0"/>
        </w:numPr>
        <w:rPr>
          <w:rFonts w:hint="eastAsia"/>
          <w:highlight w:val="none"/>
          <w:lang w:val="en-US" w:eastAsia="zh-CN"/>
        </w:rPr>
      </w:pPr>
      <w:r>
        <w:rPr>
          <w:rFonts w:hint="eastAsia"/>
          <w:highlight w:val="none"/>
          <w:lang w:val="en-US" w:eastAsia="zh-CN"/>
        </w:rPr>
      </w:r>
      <w:r/>
    </w:p>
    <w:p>
      <w:pPr>
        <w:pStyle w:val="1000"/>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1059"/>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1005"/>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1005"/>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1005"/>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1253"/>
        <w:jc w:val="center"/>
        <w:keepLines w:val="0"/>
        <w:keepNext w:val="0"/>
        <w:spacing w:before="0" w:after="0" w:line="360" w:lineRule="auto"/>
        <w:widowControl w:val="off"/>
        <w:rPr>
          <w:rStyle w:val="1250"/>
          <w:rFonts w:hint="eastAsia" w:ascii="宋体" w:hAnsi="宋体" w:eastAsia="宋体" w:cs="Times New Roman"/>
          <w:color w:val="auto"/>
          <w:sz w:val="28"/>
          <w:szCs w:val="22"/>
          <w:highlight w:val="none"/>
          <w:lang w:val="en-US"/>
        </w:rPr>
      </w:pPr>
      <w:r>
        <w:rPr>
          <w:rStyle w:val="1250"/>
          <w:rFonts w:hint="eastAsia" w:ascii="宋体" w:hAnsi="宋体" w:eastAsia="宋体" w:cs="Times New Roman"/>
          <w:color w:val="auto"/>
          <w:sz w:val="28"/>
          <w:szCs w:val="22"/>
          <w:highlight w:val="none"/>
          <w:lang w:val="en-US" w:eastAsia="zh-CN"/>
        </w:rPr>
        <w:t xml:space="preserve">9、具备履行合同所必需的设备和专业技术能力的书面声明</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2"/>
        <w:jc w:val="both"/>
        <w:keepLines w:val="0"/>
        <w:keepNext w:val="0"/>
        <w:pageBreakBefore w:val="0"/>
        <w:spacing w:before="0" w:after="0" w:line="240" w:lineRule="auto"/>
        <w:widowControl/>
        <w:rPr>
          <w:rFonts w:hint="eastAsia" w:eastAsia="宋体"/>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淮塔园林供水管网改造工程</w:t>
      </w:r>
      <w:r/>
    </w:p>
    <w:p>
      <w:pPr>
        <w:ind w:left="0" w:right="0" w:firstLine="482"/>
        <w:jc w:val="both"/>
        <w:keepLines w:val="0"/>
        <w:keepNext w:val="0"/>
        <w:pageBreakBefore w:val="0"/>
        <w:spacing w:before="0" w:after="0" w:line="240" w:lineRule="auto"/>
        <w:widowControl/>
        <w:rPr>
          <w:rFonts w:hint="eastAsia" w:eastAsia="宋体"/>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JSZC-320300-JSCL-C2025-0006</w:t>
      </w:r>
      <w:r/>
    </w:p>
    <w:p>
      <w:pPr>
        <w:ind w:left="0" w:right="0" w:firstLine="48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ind w:left="0" w:right="0" w:firstLine="482"/>
        <w:jc w:val="both"/>
        <w:keepLines w:val="0"/>
        <w:keepNext w:val="0"/>
        <w:pageBreakBefore w:val="0"/>
        <w:spacing w:before="0" w:after="0" w:line="360" w:lineRule="auto"/>
        <w:widowControl/>
        <w:rPr>
          <w:rFonts w:hint="eastAsia" w:eastAsia="宋体"/>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rPr>
        <w:t xml:space="preserve">供应商郑重声明：供应商具备履行合同（项目名称：</w:t>
      </w:r>
      <w:r>
        <w:rPr>
          <w:rFonts w:hint="eastAsia" w:ascii="宋体" w:hAnsi="宋体" w:cs="宋体"/>
          <w:color w:val="000000"/>
          <w:sz w:val="24"/>
          <w:highlight w:val="none"/>
          <w:lang w:eastAsia="zh-CN"/>
        </w:rPr>
        <w:t xml:space="preserve">淮塔园林供水管网改造工程</w:t>
      </w:r>
      <w:r>
        <w:rPr>
          <w:rFonts w:ascii="宋体" w:hAnsi="宋体" w:eastAsia="宋体" w:cs="宋体"/>
          <w:color w:val="000000"/>
          <w:sz w:val="24"/>
          <w:highlight w:val="none"/>
        </w:rPr>
        <w:t xml:space="preserve">，项目编号：</w:t>
      </w:r>
      <w:r>
        <w:rPr>
          <w:rStyle w:val="1250"/>
          <w:rFonts w:hint="eastAsia" w:ascii="宋体" w:hAnsi="宋体"/>
          <w:color w:val="auto"/>
          <w:sz w:val="24"/>
          <w:highlight w:val="none"/>
        </w:rPr>
        <w:t xml:space="preserve">JSZC-320300-JSCL-C2025-0006</w:t>
      </w:r>
      <w:r>
        <w:rPr>
          <w:rFonts w:ascii="宋体" w:hAnsi="宋体" w:eastAsia="宋体" w:cs="宋体"/>
          <w:color w:val="000000"/>
          <w:sz w:val="24"/>
          <w:highlight w:val="none"/>
        </w:rPr>
        <w:t xml:space="preserve">）所必需的设备和专业技术能力</w:t>
      </w:r>
      <w:r>
        <w:rPr>
          <w:rFonts w:hint="eastAsia" w:ascii="宋体" w:hAnsi="宋体" w:cs="宋体"/>
          <w:color w:val="000000"/>
          <w:sz w:val="24"/>
          <w:highlight w:val="none"/>
          <w:lang w:eastAsia="zh-CN"/>
        </w:rPr>
        <w:t xml:space="preserve">。</w:t>
      </w:r>
      <w:r/>
    </w:p>
    <w:p>
      <w:pPr>
        <w:ind w:left="0" w:right="0" w:firstLine="0"/>
        <w:jc w:val="both"/>
        <w:spacing w:before="210" w:after="57"/>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特此声明。</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供应商对上述声明的真实性负责。如有虚假，将依法承担相应责任。</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pStyle w:val="1000"/>
        <w:jc w:val="left"/>
        <w:spacing w:line="360" w:lineRule="auto"/>
        <w:widowControl w:val="off"/>
        <w:rPr>
          <w:rStyle w:val="1250"/>
          <w:rFonts w:hint="eastAsia" w:ascii="宋体" w:hAnsi="宋体"/>
          <w:color w:val="auto"/>
          <w:sz w:val="24"/>
          <w:szCs w:val="22"/>
          <w:highlight w:val="none"/>
          <w:lang w:val="en-US"/>
        </w:rPr>
      </w:pPr>
      <w:r>
        <w:rPr>
          <w:rStyle w:val="1250"/>
          <w:rFonts w:ascii="宋体" w:hAnsi="宋体"/>
          <w:color w:val="auto"/>
          <w:sz w:val="24"/>
          <w:highlight w:val="none"/>
        </w:rPr>
        <w:t xml:space="preserve"> </w:t>
      </w:r>
      <w:r>
        <w:rPr>
          <w:rStyle w:val="1250"/>
          <w:rFonts w:hint="eastAsia" w:ascii="宋体" w:hAnsi="宋体"/>
          <w:color w:val="auto"/>
          <w:sz w:val="24"/>
          <w:highlight w:val="none"/>
          <w:lang w:val="en-US"/>
        </w:rPr>
        <w:t xml:space="preserve">                          </w:t>
      </w:r>
      <w:r/>
    </w:p>
    <w:p>
      <w:pPr>
        <w:pStyle w:val="1000"/>
        <w:ind w:firstLine="3360"/>
        <w:jc w:val="left"/>
        <w:spacing w:line="360" w:lineRule="auto"/>
        <w:widowControl w:val="off"/>
        <w:rPr>
          <w:rStyle w:val="1250"/>
          <w:rFonts w:ascii="宋体" w:hAnsi="宋体"/>
          <w:color w:val="auto"/>
          <w:sz w:val="24"/>
          <w:szCs w:val="22"/>
          <w:highlight w:val="none"/>
        </w:rPr>
      </w:pPr>
      <w:r>
        <w:rPr>
          <w:rStyle w:val="1250"/>
          <w:rFonts w:ascii="宋体" w:hAnsi="宋体"/>
          <w:color w:val="auto"/>
          <w:sz w:val="24"/>
          <w:szCs w:val="22"/>
          <w:highlight w:val="none"/>
        </w:rPr>
        <w:t xml:space="preserve">供应商（</w:t>
      </w:r>
      <w:r>
        <w:rPr>
          <w:rStyle w:val="1250"/>
          <w:rFonts w:hint="eastAsia" w:ascii="宋体" w:hAnsi="宋体"/>
          <w:color w:val="auto"/>
          <w:sz w:val="24"/>
          <w:szCs w:val="22"/>
          <w:highlight w:val="none"/>
        </w:rPr>
        <w:t xml:space="preserve">电子签章</w:t>
      </w:r>
      <w:r>
        <w:rPr>
          <w:rStyle w:val="1250"/>
          <w:rFonts w:ascii="宋体" w:hAnsi="宋体"/>
          <w:color w:val="auto"/>
          <w:sz w:val="24"/>
          <w:szCs w:val="22"/>
          <w:highlight w:val="none"/>
        </w:rPr>
        <w:t xml:space="preserve">）：</w:t>
      </w:r>
      <w:r/>
    </w:p>
    <w:p>
      <w:pPr>
        <w:pStyle w:val="1000"/>
        <w:jc w:val="left"/>
        <w:spacing w:line="360" w:lineRule="auto"/>
        <w:widowControl w:val="off"/>
        <w:rPr>
          <w:rStyle w:val="1250"/>
          <w:rFonts w:ascii="宋体" w:hAnsi="宋体"/>
          <w:color w:val="auto"/>
          <w:sz w:val="24"/>
          <w:szCs w:val="22"/>
          <w:highlight w:val="none"/>
        </w:rPr>
      </w:pPr>
      <w:r>
        <w:rPr>
          <w:rStyle w:val="1250"/>
          <w:rFonts w:ascii="宋体" w:hAnsi="宋体"/>
          <w:color w:val="auto"/>
          <w:sz w:val="24"/>
          <w:szCs w:val="22"/>
          <w:highlight w:val="none"/>
        </w:rPr>
        <w:t xml:space="preserve">                           </w:t>
      </w:r>
      <w:r>
        <w:rPr>
          <w:rStyle w:val="1250"/>
          <w:rFonts w:hint="eastAsia" w:ascii="宋体" w:hAnsi="宋体"/>
          <w:color w:val="auto"/>
          <w:sz w:val="24"/>
          <w:szCs w:val="22"/>
          <w:highlight w:val="none"/>
          <w:lang w:val="en-US"/>
        </w:rPr>
        <w:t xml:space="preserve"> </w:t>
      </w:r>
      <w:r>
        <w:rPr>
          <w:rStyle w:val="1250"/>
          <w:rFonts w:ascii="宋体" w:hAnsi="宋体"/>
          <w:color w:val="auto"/>
          <w:sz w:val="24"/>
          <w:szCs w:val="22"/>
          <w:highlight w:val="none"/>
        </w:rPr>
        <w:t xml:space="preserve">法定代表人或授权代表（签字或盖章）：  </w:t>
      </w:r>
      <w:r/>
    </w:p>
    <w:p>
      <w:pPr>
        <w:pStyle w:val="1000"/>
        <w:jc w:val="left"/>
        <w:spacing w:line="360" w:lineRule="auto"/>
        <w:widowControl w:val="off"/>
        <w:rPr>
          <w:rFonts w:ascii="宋体" w:hAnsi="宋体"/>
          <w:color w:val="auto"/>
          <w:sz w:val="24"/>
          <w:highlight w:val="none"/>
        </w:rPr>
      </w:pPr>
      <w:r>
        <w:rPr>
          <w:rStyle w:val="1250"/>
          <w:rFonts w:ascii="宋体" w:hAnsi="宋体"/>
          <w:color w:val="auto"/>
          <w:sz w:val="24"/>
          <w:highlight w:val="none"/>
        </w:rPr>
        <w:t xml:space="preserve">                           </w:t>
      </w:r>
      <w:r>
        <w:rPr>
          <w:rStyle w:val="1250"/>
          <w:rFonts w:hint="eastAsia" w:ascii="宋体" w:hAnsi="宋体"/>
          <w:color w:val="auto"/>
          <w:sz w:val="24"/>
          <w:highlight w:val="none"/>
          <w:lang w:val="en-US"/>
        </w:rPr>
        <w:t xml:space="preserve"> </w:t>
      </w:r>
      <w:r>
        <w:rPr>
          <w:rStyle w:val="1250"/>
          <w:rFonts w:ascii="宋体" w:hAnsi="宋体"/>
          <w:color w:val="auto"/>
          <w:sz w:val="24"/>
          <w:highlight w:val="none"/>
        </w:rPr>
        <w:t xml:space="preserve">日期： </w:t>
      </w:r>
      <w:r/>
    </w:p>
    <w:p>
      <w:pPr>
        <w:pStyle w:val="1013"/>
        <w:rPr>
          <w:rFonts w:ascii="宋体" w:hAnsi="宋体" w:eastAsia="宋体" w:cs="宋体"/>
          <w:color w:val="000000"/>
          <w:sz w:val="24"/>
          <w:highlight w:val="none"/>
        </w:rPr>
      </w:pPr>
      <w:r>
        <w:rPr>
          <w:rFonts w:ascii="宋体" w:hAnsi="宋体" w:eastAsia="宋体" w:cs="宋体"/>
          <w:color w:val="000000"/>
          <w:sz w:val="24"/>
          <w:highlight w:val="none"/>
        </w:rPr>
      </w:r>
      <w:r/>
    </w:p>
    <w:p>
      <w:pPr>
        <w:pStyle w:val="1014"/>
        <w:rPr>
          <w:rFonts w:ascii="宋体" w:hAnsi="宋体" w:eastAsia="宋体" w:cs="宋体"/>
          <w:color w:val="000000"/>
          <w:sz w:val="24"/>
          <w:highlight w:val="none"/>
        </w:rPr>
      </w:pPr>
      <w:r>
        <w:rPr>
          <w:rFonts w:ascii="宋体" w:hAnsi="宋体" w:eastAsia="宋体" w:cs="宋体"/>
          <w:color w:val="000000"/>
          <w:sz w:val="24"/>
          <w:highlight w:val="none"/>
        </w:rPr>
      </w:r>
      <w:r/>
    </w:p>
    <w:p>
      <w:pPr>
        <w:pStyle w:val="1016"/>
        <w:rPr>
          <w:rFonts w:ascii="宋体" w:hAnsi="宋体" w:eastAsia="宋体" w:cs="宋体"/>
          <w:color w:val="000000"/>
          <w:sz w:val="24"/>
          <w:highlight w:val="none"/>
        </w:rPr>
      </w:pPr>
      <w:r>
        <w:rPr>
          <w:rFonts w:ascii="宋体" w:hAnsi="宋体" w:eastAsia="宋体" w:cs="宋体"/>
          <w:color w:val="000000"/>
          <w:sz w:val="24"/>
          <w:highlight w:val="none"/>
        </w:rPr>
      </w:r>
      <w:r/>
    </w:p>
    <w:p>
      <w:pPr>
        <w:pStyle w:val="1054"/>
        <w:numPr>
          <w:ilvl w:val="0"/>
          <w:numId w:val="0"/>
        </w:numPr>
        <w:rPr>
          <w:highlight w:val="none"/>
        </w:rPr>
      </w:pPr>
      <w:r>
        <w:rPr>
          <w:highlight w:val="none"/>
        </w:rPr>
      </w:r>
      <w:r/>
    </w:p>
    <w:p>
      <w:pPr>
        <w:pStyle w:val="1000"/>
        <w:rPr>
          <w:rFonts w:ascii="宋体" w:hAnsi="宋体" w:eastAsia="宋体" w:cs="宋体"/>
          <w:color w:val="000000"/>
          <w:sz w:val="24"/>
          <w:highlight w:val="none"/>
        </w:rPr>
      </w:pPr>
      <w:r>
        <w:rPr>
          <w:rFonts w:ascii="宋体" w:hAnsi="宋体" w:eastAsia="宋体" w:cs="宋体"/>
          <w:color w:val="000000"/>
          <w:sz w:val="24"/>
          <w:highlight w:val="none"/>
        </w:rPr>
      </w:r>
      <w:r/>
    </w:p>
    <w:p>
      <w:pPr>
        <w:pStyle w:val="1059"/>
        <w:rPr>
          <w:rFonts w:ascii="宋体" w:hAnsi="宋体" w:eastAsia="宋体" w:cs="宋体"/>
          <w:color w:val="000000"/>
          <w:sz w:val="24"/>
          <w:highlight w:val="none"/>
        </w:rPr>
      </w:pPr>
      <w:r>
        <w:rPr>
          <w:rFonts w:ascii="宋体" w:hAnsi="宋体" w:eastAsia="宋体" w:cs="宋体"/>
          <w:color w:val="000000"/>
          <w:sz w:val="24"/>
          <w:highlight w:val="none"/>
        </w:rPr>
      </w:r>
      <w:r/>
    </w:p>
    <w:p>
      <w:pPr>
        <w:pStyle w:val="1005"/>
        <w:rPr>
          <w:rFonts w:ascii="宋体" w:hAnsi="宋体" w:eastAsia="宋体" w:cs="宋体"/>
          <w:color w:val="000000"/>
          <w:sz w:val="24"/>
          <w:highlight w:val="none"/>
        </w:rPr>
      </w:pPr>
      <w:r>
        <w:rPr>
          <w:rFonts w:ascii="宋体" w:hAnsi="宋体" w:eastAsia="宋体" w:cs="宋体"/>
          <w:color w:val="000000"/>
          <w:sz w:val="24"/>
          <w:highlight w:val="none"/>
        </w:rPr>
      </w:r>
      <w:r/>
    </w:p>
    <w:p>
      <w:pPr>
        <w:pStyle w:val="1005"/>
        <w:rPr>
          <w:rFonts w:ascii="宋体" w:hAnsi="宋体" w:eastAsia="宋体" w:cs="宋体"/>
          <w:color w:val="000000"/>
          <w:sz w:val="24"/>
          <w:highlight w:val="none"/>
        </w:rPr>
      </w:pPr>
      <w:r>
        <w:rPr>
          <w:rFonts w:ascii="宋体" w:hAnsi="宋体" w:eastAsia="宋体" w:cs="宋体"/>
          <w:color w:val="000000"/>
          <w:sz w:val="24"/>
          <w:highlight w:val="none"/>
        </w:rPr>
      </w:r>
      <w:r/>
    </w:p>
    <w:p>
      <w:pPr>
        <w:pStyle w:val="1005"/>
        <w:rPr>
          <w:rFonts w:ascii="宋体" w:hAnsi="宋体" w:eastAsia="宋体" w:cs="宋体"/>
          <w:color w:val="000000"/>
          <w:sz w:val="24"/>
          <w:highlight w:val="none"/>
        </w:rPr>
      </w:pPr>
      <w:r>
        <w:rPr>
          <w:rFonts w:ascii="宋体" w:hAnsi="宋体" w:eastAsia="宋体" w:cs="宋体"/>
          <w:color w:val="000000"/>
          <w:sz w:val="24"/>
          <w:highlight w:val="none"/>
        </w:rPr>
      </w:r>
      <w:r/>
    </w:p>
    <w:p>
      <w:pPr>
        <w:pStyle w:val="1005"/>
        <w:rPr>
          <w:rFonts w:ascii="宋体" w:hAnsi="宋体" w:eastAsia="宋体" w:cs="宋体"/>
          <w:color w:val="000000"/>
          <w:sz w:val="24"/>
          <w:highlight w:val="none"/>
        </w:rPr>
      </w:pPr>
      <w:r>
        <w:rPr>
          <w:rFonts w:ascii="宋体" w:hAnsi="宋体" w:eastAsia="宋体" w:cs="宋体"/>
          <w:color w:val="000000"/>
          <w:sz w:val="24"/>
          <w:highlight w:val="none"/>
        </w:rPr>
      </w:r>
      <w:r/>
    </w:p>
    <w:p>
      <w:pPr>
        <w:pStyle w:val="1005"/>
        <w:rPr>
          <w:rFonts w:ascii="宋体" w:hAnsi="宋体" w:eastAsia="宋体" w:cs="宋体"/>
          <w:color w:val="000000"/>
          <w:sz w:val="24"/>
          <w:highlight w:val="none"/>
        </w:rPr>
      </w:pPr>
      <w:r>
        <w:rPr>
          <w:rFonts w:ascii="宋体" w:hAnsi="宋体" w:eastAsia="宋体" w:cs="宋体"/>
          <w:color w:val="000000"/>
          <w:sz w:val="24"/>
          <w:highlight w:val="none"/>
        </w:rPr>
      </w:r>
      <w:r/>
    </w:p>
    <w:p>
      <w:pPr>
        <w:pStyle w:val="1253"/>
        <w:jc w:val="center"/>
        <w:keepLines w:val="0"/>
        <w:keepNext w:val="0"/>
        <w:widowControl w:val="off"/>
        <w:rPr>
          <w:rStyle w:val="1250"/>
          <w:rFonts w:ascii="宋体" w:hAnsi="宋体"/>
          <w:color w:val="auto"/>
          <w:sz w:val="28"/>
          <w:highlight w:val="none"/>
        </w:rPr>
      </w:pPr>
      <w:r/>
      <w:bookmarkStart w:id="41" w:name="_Toc21289"/>
      <w:r/>
      <w:bookmarkStart w:id="42" w:name="_Toc5701"/>
      <w:r/>
      <w:bookmarkStart w:id="43" w:name="_Toc10999"/>
      <w:r/>
      <w:bookmarkStart w:id="44" w:name="_Toc10690"/>
      <w:r/>
      <w:bookmarkStart w:id="45" w:name="_Toc8138"/>
      <w:r>
        <w:rPr>
          <w:rStyle w:val="1250"/>
          <w:rFonts w:hint="eastAsia" w:ascii="宋体" w:hAnsi="宋体"/>
          <w:color w:val="auto"/>
          <w:sz w:val="28"/>
          <w:highlight w:val="none"/>
          <w:lang w:val="en-US"/>
        </w:rPr>
        <w:t xml:space="preserve">10</w:t>
      </w:r>
      <w:r>
        <w:rPr>
          <w:rStyle w:val="1250"/>
          <w:rFonts w:ascii="宋体" w:hAnsi="宋体"/>
          <w:color w:val="auto"/>
          <w:sz w:val="28"/>
          <w:highlight w:val="none"/>
        </w:rPr>
        <w:t xml:space="preserve">、中小企业声明函</w:t>
      </w:r>
      <w:bookmarkEnd w:id="41"/>
      <w:r/>
      <w:bookmarkEnd w:id="42"/>
      <w:r/>
      <w:bookmarkEnd w:id="43"/>
      <w:r/>
      <w:bookmarkEnd w:id="44"/>
      <w:r/>
      <w:bookmarkEnd w:id="45"/>
      <w:r/>
      <w:r/>
    </w:p>
    <w:p>
      <w:pPr>
        <w:pStyle w:val="1000"/>
        <w:ind w:firstLine="480"/>
        <w:spacing w:before="292" w:line="400" w:lineRule="exact"/>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淮塔园林供水管网改造工程</w:t>
      </w:r>
      <w:r/>
    </w:p>
    <w:p>
      <w:pPr>
        <w:pStyle w:val="1000"/>
        <w:ind w:firstLine="480"/>
        <w:spacing w:line="400" w:lineRule="exact"/>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JSZC-320300-JSCL-C2025-0006</w:t>
      </w:r>
      <w:r/>
    </w:p>
    <w:p>
      <w:pPr>
        <w:ind w:firstLine="48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cs="宋体"/>
          <w:sz w:val="24"/>
          <w:szCs w:val="24"/>
          <w:highlight w:val="none"/>
          <w:u w:val="single"/>
          <w:lang w:eastAsia="zh-CN"/>
        </w:rPr>
        <w:t xml:space="preserve">淮海战役烈士纪念塔管理中心</w:t>
      </w:r>
      <w:r>
        <w:rPr>
          <w:rFonts w:hint="eastAsia" w:ascii="宋体" w:hAnsi="宋体" w:cs="宋体"/>
          <w:sz w:val="24"/>
          <w:szCs w:val="24"/>
          <w:highlight w:val="none"/>
        </w:rPr>
        <w:t xml:space="preserve">的</w:t>
      </w:r>
      <w:r>
        <w:rPr>
          <w:rFonts w:hint="eastAsia" w:ascii="宋体" w:hAnsi="宋体" w:cs="宋体"/>
          <w:sz w:val="24"/>
          <w:highlight w:val="none"/>
          <w:u w:val="single"/>
          <w:lang w:eastAsia="zh-CN"/>
        </w:rPr>
        <w:t xml:space="preserve">淮塔园林供水管网改造工程</w:t>
      </w:r>
      <w:r>
        <w:rPr>
          <w:rFonts w:hint="eastAsia" w:ascii="宋体" w:hAnsi="宋体" w:cs="宋体"/>
          <w:sz w:val="24"/>
          <w:szCs w:val="24"/>
          <w:highlight w:val="none"/>
        </w:rPr>
        <w:t xml:space="preserve">（项目名称）采购活动，工程的施工单位全部为符合政策要求的中小企业。相关企业（含联合体中的中小企业、签订分包意向协议的中小企业）的具体情况如下：</w:t>
      </w:r>
      <w:r/>
    </w:p>
    <w:p>
      <w:pPr>
        <w:ind w:firstLine="48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u w:val="single"/>
          <w:lang w:val="en-US" w:eastAsia="zh-CN"/>
        </w:rPr>
        <w:t xml:space="preserve"> </w:t>
      </w:r>
      <w:r>
        <w:rPr>
          <w:rFonts w:hint="eastAsia" w:ascii="宋体" w:hAnsi="宋体" w:cs="宋体"/>
          <w:sz w:val="24"/>
          <w:highlight w:val="none"/>
          <w:u w:val="single"/>
          <w:lang w:eastAsia="zh-CN"/>
        </w:rPr>
        <w:t xml:space="preserve">淮塔园林供水管网改造工程</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 ，属于</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建筑业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承建（承接）企业为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万元 ，属于</w:t>
      </w:r>
      <w:r>
        <w:rPr>
          <w:rFonts w:hint="eastAsia" w:ascii="宋体" w:hAnsi="宋体" w:cs="宋体"/>
          <w:sz w:val="24"/>
          <w:szCs w:val="24"/>
          <w:highlight w:val="none"/>
          <w:u w:val="single"/>
        </w:rPr>
        <w:t xml:space="preserve">（中型企业、 小型企业、微型企业）</w:t>
      </w:r>
      <w:r>
        <w:rPr>
          <w:rFonts w:hint="eastAsia" w:ascii="宋体" w:hAnsi="宋体" w:cs="宋体"/>
          <w:sz w:val="24"/>
          <w:szCs w:val="24"/>
          <w:highlight w:val="none"/>
        </w:rPr>
        <w:t xml:space="preserve">；</w:t>
      </w:r>
      <w:r/>
    </w:p>
    <w:p>
      <w:pPr>
        <w:ind w:firstLine="480"/>
        <w:spacing w:line="588"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 </w:t>
      </w:r>
      <w:r/>
    </w:p>
    <w:p>
      <w:pPr>
        <w:ind w:firstLine="48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 </w:t>
      </w:r>
      <w:r/>
    </w:p>
    <w:p>
      <w:pPr>
        <w:ind w:left="600"/>
        <w:spacing w:line="588"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384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企业名称（电子签章）： </w:t>
      </w:r>
      <w:r/>
    </w:p>
    <w:p>
      <w:pPr>
        <w:ind w:firstLine="384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日 期： </w:t>
      </w:r>
      <w:r/>
    </w:p>
    <w:p>
      <w:pPr>
        <w:ind w:left="600"/>
        <w:spacing w:line="588" w:lineRule="exact"/>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101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26"/>
        <w:spacing w:before="0" w:beforeAutospacing="0" w:after="0" w:afterAutospacing="0" w:line="360" w:lineRule="auto"/>
        <w:widowControl w:val="off"/>
        <w:rPr>
          <w:rFonts w:hint="eastAsia" w:ascii="宋体" w:hAnsi="宋体" w:cs="宋体"/>
          <w:sz w:val="18"/>
          <w:szCs w:val="18"/>
          <w:highlight w:val="none"/>
        </w:rPr>
      </w:pPr>
      <w:r>
        <w:rPr>
          <w:rFonts w:hint="eastAsia" w:ascii="宋体" w:hAnsi="宋体" w:cs="宋体"/>
          <w:sz w:val="18"/>
          <w:szCs w:val="18"/>
          <w:highlight w:val="none"/>
        </w:rPr>
        <w:t xml:space="preserve">1 从业人员、营业收入、资产总额填报上一年度数据，无上一年度数据的新成立企业可不填报。</w:t>
      </w:r>
      <w:r/>
    </w:p>
    <w:p>
      <w:pPr>
        <w:pStyle w:val="1226"/>
        <w:spacing w:before="0" w:beforeAutospacing="0" w:after="0" w:afterAutospacing="0" w:line="360" w:lineRule="auto"/>
        <w:widowControl w:val="off"/>
        <w:rPr>
          <w:rFonts w:hint="eastAsia" w:ascii="宋体" w:hAnsi="宋体" w:cs="宋体"/>
          <w:sz w:val="18"/>
          <w:szCs w:val="18"/>
          <w:highlight w:val="none"/>
        </w:rPr>
      </w:pPr>
      <w:r>
        <w:rPr>
          <w:rFonts w:hint="eastAsia" w:ascii="宋体" w:hAnsi="宋体" w:cs="宋体"/>
          <w:sz w:val="18"/>
          <w:szCs w:val="18"/>
          <w:highlight w:val="none"/>
        </w:rPr>
      </w:r>
      <w:r/>
    </w:p>
    <w:p>
      <w:pPr>
        <w:pStyle w:val="1226"/>
        <w:spacing w:before="0" w:beforeAutospacing="0" w:after="0" w:afterAutospacing="0" w:line="360" w:lineRule="auto"/>
        <w:widowControl w:val="off"/>
        <w:rPr>
          <w:rFonts w:hint="eastAsia" w:ascii="宋体" w:hAnsi="宋体" w:cs="宋体"/>
          <w:sz w:val="18"/>
          <w:szCs w:val="18"/>
          <w:highlight w:val="none"/>
        </w:rPr>
      </w:pPr>
      <w:r>
        <w:rPr>
          <w:rFonts w:hint="eastAsia" w:ascii="宋体" w:hAnsi="宋体" w:cs="宋体"/>
          <w:sz w:val="18"/>
          <w:szCs w:val="18"/>
          <w:highlight w:val="none"/>
        </w:rPr>
      </w:r>
      <w:r/>
    </w:p>
    <w:p>
      <w:pPr>
        <w:pStyle w:val="1226"/>
        <w:spacing w:before="0" w:beforeAutospacing="0" w:after="0" w:afterAutospacing="0" w:line="360" w:lineRule="auto"/>
        <w:widowControl w:val="off"/>
        <w:rPr>
          <w:rFonts w:hint="eastAsia" w:ascii="宋体" w:hAnsi="宋体" w:cs="宋体"/>
          <w:sz w:val="18"/>
          <w:szCs w:val="18"/>
          <w:highlight w:val="none"/>
        </w:rPr>
      </w:pPr>
      <w:r>
        <w:rPr>
          <w:rFonts w:hint="eastAsia" w:ascii="宋体" w:hAnsi="宋体" w:cs="宋体"/>
          <w:sz w:val="18"/>
          <w:szCs w:val="18"/>
          <w:highlight w:val="none"/>
        </w:rPr>
      </w:r>
      <w:r/>
    </w:p>
    <w:p>
      <w:pPr>
        <w:pStyle w:val="1226"/>
        <w:spacing w:before="0" w:beforeAutospacing="0" w:after="0" w:afterAutospacing="0" w:line="360" w:lineRule="auto"/>
        <w:widowControl w:val="off"/>
        <w:rPr>
          <w:rFonts w:hint="eastAsia" w:ascii="宋体" w:hAnsi="宋体" w:cs="宋体"/>
          <w:sz w:val="18"/>
          <w:szCs w:val="18"/>
          <w:highlight w:val="none"/>
        </w:rPr>
      </w:pPr>
      <w:r>
        <w:rPr>
          <w:rFonts w:hint="eastAsia" w:ascii="宋体" w:hAnsi="宋体" w:cs="宋体"/>
          <w:sz w:val="18"/>
          <w:szCs w:val="18"/>
          <w:highlight w:val="none"/>
        </w:rPr>
      </w:r>
      <w:r/>
    </w:p>
    <w:p>
      <w:pPr>
        <w:jc w:val="both"/>
        <w:spacing w:line="360" w:lineRule="auto"/>
        <w:rPr>
          <w:rFonts w:hint="eastAsia" w:ascii="宋体" w:hAnsi="宋体" w:cs="宋体"/>
          <w:color w:val="auto"/>
          <w:sz w:val="24"/>
          <w:highlight w:val="none"/>
        </w:rPr>
      </w:pPr>
      <w:r>
        <w:rPr>
          <w:rFonts w:hint="eastAsia" w:ascii="宋体" w:hAnsi="宋体" w:cs="宋体"/>
          <w:b/>
          <w:bCs/>
          <w:color w:val="auto"/>
          <w:sz w:val="36"/>
          <w:szCs w:val="36"/>
          <w:highlight w:val="none"/>
          <w:lang w:val="en-US" w:eastAsia="zh-CN"/>
        </w:rPr>
        <mc:AlternateContent>
          <mc:Choice Requires="wpg">
            <w:drawing>
              <wp:anchor xmlns:wp="http://schemas.openxmlformats.org/drawingml/2006/wordprocessingDrawing" xmlns:wp14="http://schemas.microsoft.com/office/word/2010/wordprocessingDrawing" distT="0" distB="0" distL="114935" distR="114935" simplePos="0" relativeHeight="251664384" behindDoc="1" locked="0" layoutInCell="1" allowOverlap="1">
                <wp:simplePos x="0" y="0"/>
                <wp:positionH relativeFrom="column">
                  <wp:posOffset>1410335</wp:posOffset>
                </wp:positionH>
                <wp:positionV relativeFrom="paragraph">
                  <wp:posOffset>551180</wp:posOffset>
                </wp:positionV>
                <wp:extent cx="2459990" cy="5322570"/>
                <wp:effectExtent l="0" t="0" r="16510" b="11430"/>
                <wp:wrapNone/>
                <wp:docPr id="15"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0" descr="微信图片_20240806121821"/>
                        <pic:cNvPicPr>
                          <a:picLocks noChangeAspect="1"/>
                        </pic:cNvPicPr>
                        <pic:nvPr/>
                      </pic:nvPicPr>
                      <pic:blipFill>
                        <a:blip r:embed="rId27"/>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4384;o:allowoverlap:true;o:allowincell:true;mso-position-horizontal-relative:text;margin-left:111.0pt;mso-position-horizontal:absolute;mso-position-vertical-relative:text;margin-top:43.4pt;mso-position-vertical:absolute;width:193.7pt;height:419.1pt;mso-wrap-distance-left:9.0pt;mso-wrap-distance-top:0.0pt;mso-wrap-distance-right:9.0pt;mso-wrap-distance-bottom:0.0pt;" stroked="false">
                <v:path textboxrect="0,0,0,0"/>
                <v:imagedata r:id="rId27" o:title=""/>
              </v:shape>
            </w:pict>
          </mc:Fallback>
        </mc:AlternateContent>
      </w:r>
      <w:r>
        <w:rPr>
          <w:rFonts w:hint="eastAsia" w:ascii="宋体" w:hAnsi="宋体" w:cs="宋体"/>
          <w:color w:val="auto"/>
          <w:sz w:val="24"/>
          <w:highlight w:val="none"/>
        </w:rPr>
        <w:t xml:space="preserve">“中小企业声明</w:t>
      </w:r>
      <w:r>
        <w:rPr>
          <w:rFonts w:hint="eastAsia" w:ascii="宋体" w:hAnsi="宋体" w:cs="宋体"/>
          <w:color w:val="auto"/>
          <w:sz w:val="24"/>
          <w:highlight w:val="none"/>
          <w:lang w:val="en-US" w:eastAsia="zh-CN"/>
        </w:rPr>
        <w:t xml:space="preserve">函</w:t>
      </w:r>
      <w:r>
        <w:rPr>
          <w:rFonts w:hint="eastAsia" w:ascii="宋体" w:hAnsi="宋体" w:cs="宋体"/>
          <w:color w:val="auto"/>
          <w:sz w:val="24"/>
          <w:highlight w:val="none"/>
        </w:rPr>
        <w:t xml:space="preserve">” 查询渠道用微信搜索“中小企业规模类型自测小程序”。看下列截图。</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rPr>
          <w:rStyle w:val="1250"/>
          <w:rFonts w:ascii="宋体" w:hAnsi="宋体" w:eastAsia="宋体" w:cs="Times New Roman"/>
          <w:b/>
          <w:bCs/>
          <w:color w:val="auto"/>
          <w:sz w:val="28"/>
          <w:szCs w:val="32"/>
          <w:highlight w:val="none"/>
        </w:rPr>
      </w:pPr>
      <w:r>
        <w:rPr>
          <w:rFonts w:hint="eastAsia" w:ascii="宋体" w:hAnsi="宋体" w:cs="宋体"/>
          <w:b/>
          <w:bCs/>
          <w:color w:val="auto"/>
          <w:sz w:val="36"/>
          <w:szCs w:val="36"/>
          <w:highlight w:val="none"/>
          <w:lang w:val="en-US" w:eastAsia="zh-CN"/>
        </w:rPr>
        <w:br w:type="page" w:clear="all"/>
      </w:r>
      <w:bookmarkStart w:id="46" w:name="_Toc2270"/>
      <w:r/>
      <w:bookmarkStart w:id="47" w:name="_Toc7986"/>
      <w:r/>
      <w:bookmarkStart w:id="48" w:name="_Toc27519"/>
      <w:r/>
      <w:bookmarkStart w:id="49" w:name="_Toc21730"/>
      <w:r>
        <w:rPr>
          <w:rStyle w:val="1250"/>
          <w:rFonts w:hint="eastAsia" w:ascii="宋体" w:hAnsi="宋体" w:cs="Times New Roman"/>
          <w:b/>
          <w:bCs/>
          <w:color w:val="auto"/>
          <w:sz w:val="28"/>
          <w:szCs w:val="32"/>
          <w:highlight w:val="none"/>
          <w:lang w:val="en-US"/>
        </w:rPr>
        <w:t xml:space="preserve">11、</w:t>
      </w:r>
      <w:r>
        <w:rPr>
          <w:rStyle w:val="1250"/>
          <w:rFonts w:ascii="宋体" w:hAnsi="宋体" w:eastAsia="宋体" w:cs="Times New Roman"/>
          <w:b/>
          <w:bCs/>
          <w:color w:val="auto"/>
          <w:sz w:val="28"/>
          <w:szCs w:val="32"/>
          <w:highlight w:val="none"/>
        </w:rPr>
        <w:t xml:space="preserve">残疾人福利性单位声明函</w:t>
      </w:r>
      <w:bookmarkEnd w:id="46"/>
      <w:r/>
      <w:bookmarkEnd w:id="47"/>
      <w:r/>
      <w:bookmarkEnd w:id="48"/>
      <w:r/>
      <w:bookmarkEnd w:id="49"/>
      <w:r/>
      <w:r/>
    </w:p>
    <w:p>
      <w:pPr>
        <w:pStyle w:val="1057"/>
        <w:numPr>
          <w:ilvl w:val="0"/>
          <w:numId w:val="0"/>
        </w:numPr>
        <w:ind w:left="840"/>
        <w:jc w:val="center"/>
        <w:rPr>
          <w:rFonts w:ascii="宋体" w:hAnsi="宋体" w:eastAsia="宋体" w:cs="宋体"/>
          <w:b/>
          <w:color w:val="000000"/>
          <w:sz w:val="24"/>
          <w:highlight w:val="none"/>
        </w:rPr>
      </w:pPr>
      <w:r>
        <w:rPr>
          <w:rFonts w:ascii="宋体" w:hAnsi="宋体" w:eastAsia="宋体" w:cs="宋体"/>
          <w:b/>
          <w:color w:val="000000"/>
          <w:sz w:val="24"/>
          <w:highlight w:val="none"/>
        </w:rPr>
        <w:t xml:space="preserve">（注：</w:t>
      </w:r>
      <w:r>
        <w:rPr>
          <w:rFonts w:ascii="宋体" w:hAnsi="宋体"/>
          <w:b/>
          <w:bCs/>
          <w:color w:val="auto"/>
          <w:sz w:val="24"/>
          <w:highlight w:val="none"/>
        </w:rPr>
        <w:t xml:space="preserve">如供应商不属于残疾人福利性单位，不需提供此声明函</w:t>
      </w:r>
      <w:r>
        <w:rPr>
          <w:rFonts w:ascii="宋体" w:hAnsi="宋体" w:eastAsia="宋体" w:cs="宋体"/>
          <w:b/>
          <w:color w:val="000000"/>
          <w:sz w:val="24"/>
          <w:highlight w:val="none"/>
        </w:rPr>
        <w:t xml:space="preserve">）</w:t>
      </w:r>
      <w:r/>
    </w:p>
    <w:p>
      <w:pPr>
        <w:pStyle w:val="1060"/>
        <w:rPr>
          <w:highlight w:val="none"/>
        </w:rPr>
      </w:pPr>
      <w:r>
        <w:rPr>
          <w:highlight w:val="none"/>
        </w:rPr>
      </w:r>
      <w:r/>
    </w:p>
    <w:p>
      <w:pPr>
        <w:pStyle w:val="1000"/>
        <w:jc w:val="left"/>
        <w:spacing w:line="360" w:lineRule="auto"/>
        <w:widowControl w:val="off"/>
        <w:rPr>
          <w:rStyle w:val="1250"/>
          <w:rFonts w:ascii="宋体" w:hAnsi="宋体"/>
          <w:color w:val="auto"/>
          <w:sz w:val="24"/>
          <w:highlight w:val="none"/>
        </w:rPr>
      </w:pPr>
      <w:r>
        <w:rPr>
          <w:rStyle w:val="1250"/>
          <w:rFonts w:ascii="宋体" w:hAnsi="宋体"/>
          <w:color w:val="auto"/>
          <w:sz w:val="24"/>
          <w:highlight w:val="none"/>
        </w:rPr>
        <w:t xml:space="preserve">项目名称：</w:t>
      </w:r>
      <w:r>
        <w:rPr>
          <w:rStyle w:val="1250"/>
          <w:rFonts w:hint="eastAsia" w:ascii="宋体" w:hAnsi="宋体"/>
          <w:color w:val="auto"/>
          <w:sz w:val="24"/>
          <w:highlight w:val="none"/>
        </w:rPr>
        <w:t xml:space="preserve">淮塔园林供水管网改造工程</w:t>
      </w:r>
      <w:r/>
    </w:p>
    <w:p>
      <w:pPr>
        <w:pStyle w:val="1000"/>
        <w:jc w:val="left"/>
        <w:spacing w:line="360" w:lineRule="auto"/>
        <w:widowControl w:val="off"/>
        <w:rPr>
          <w:rStyle w:val="1250"/>
          <w:rFonts w:ascii="宋体" w:hAnsi="宋体"/>
          <w:color w:val="auto"/>
          <w:sz w:val="24"/>
          <w:highlight w:val="none"/>
        </w:rPr>
      </w:pPr>
      <w:r>
        <w:rPr>
          <w:rStyle w:val="1250"/>
          <w:rFonts w:ascii="宋体" w:hAnsi="宋体"/>
          <w:color w:val="auto"/>
          <w:sz w:val="24"/>
          <w:highlight w:val="none"/>
        </w:rPr>
        <w:t xml:space="preserve">项目编号：</w:t>
      </w:r>
      <w:r>
        <w:rPr>
          <w:rStyle w:val="1250"/>
          <w:rFonts w:hint="eastAsia" w:ascii="宋体" w:hAnsi="宋体"/>
          <w:color w:val="auto"/>
          <w:sz w:val="24"/>
          <w:highlight w:val="none"/>
        </w:rPr>
        <w:t xml:space="preserve">JSZC-320300-JSCL-C2025-0006</w:t>
      </w:r>
      <w:r/>
    </w:p>
    <w:p>
      <w:pPr>
        <w:pStyle w:val="1000"/>
        <w:ind w:firstLine="504"/>
        <w:jc w:val="left"/>
        <w:spacing w:line="360" w:lineRule="auto"/>
        <w:widowControl w:val="off"/>
        <w:rPr>
          <w:rStyle w:val="1250"/>
          <w:rFonts w:ascii="宋体" w:hAnsi="宋体"/>
          <w:color w:val="auto"/>
          <w:spacing w:val="6"/>
          <w:sz w:val="24"/>
          <w:highlight w:val="none"/>
        </w:rPr>
      </w:pPr>
      <w:r>
        <w:rPr>
          <w:rStyle w:val="1250"/>
          <w:rFonts w:ascii="宋体" w:hAnsi="宋体"/>
          <w:color w:val="auto"/>
          <w:spacing w:val="6"/>
          <w:sz w:val="24"/>
          <w:highlight w:val="none"/>
        </w:rPr>
        <w:t xml:space="preserve">本单位郑重声明，根据《财政部民政部中国残疾人联合会关于促进残疾人就业政府采购政策的通知》（财库</w:t>
      </w:r>
      <w:r>
        <w:rPr>
          <w:rStyle w:val="1250"/>
          <w:rFonts w:ascii="宋体" w:hAnsi="宋体"/>
          <w:color w:val="auto"/>
          <w:sz w:val="24"/>
          <w:highlight w:val="none"/>
        </w:rPr>
        <w:t xml:space="preserve">〔2017〕141</w:t>
      </w:r>
      <w:r>
        <w:rPr>
          <w:rStyle w:val="1250"/>
          <w:rFonts w:ascii="宋体" w:hAnsi="宋体"/>
          <w:color w:val="auto"/>
          <w:spacing w:val="6"/>
          <w:sz w:val="24"/>
          <w:highlight w:val="none"/>
        </w:rPr>
        <w:t xml:space="preserve">号）的规定，本单位为符合条件的残疾人福利性单位，且本单位参加</w:t>
      </w:r>
      <w:r>
        <w:rPr>
          <w:rStyle w:val="1250"/>
          <w:rFonts w:ascii="宋体" w:hAnsi="宋体"/>
          <w:color w:val="auto"/>
          <w:sz w:val="24"/>
          <w:highlight w:val="none"/>
        </w:rPr>
        <w:t xml:space="preserve">______</w:t>
      </w:r>
      <w:r>
        <w:rPr>
          <w:rStyle w:val="1250"/>
          <w:rFonts w:ascii="宋体" w:hAnsi="宋体"/>
          <w:color w:val="auto"/>
          <w:spacing w:val="6"/>
          <w:sz w:val="24"/>
          <w:highlight w:val="none"/>
        </w:rPr>
        <w:t xml:space="preserve">单位的</w:t>
      </w:r>
      <w:r>
        <w:rPr>
          <w:rStyle w:val="1250"/>
          <w:rFonts w:ascii="宋体" w:hAnsi="宋体"/>
          <w:color w:val="auto"/>
          <w:sz w:val="24"/>
          <w:highlight w:val="none"/>
        </w:rPr>
        <w:t xml:space="preserve">______</w:t>
      </w:r>
      <w:r>
        <w:rPr>
          <w:rStyle w:val="1250"/>
          <w:rFonts w:ascii="宋体" w:hAnsi="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000"/>
        <w:ind w:firstLine="504"/>
        <w:jc w:val="left"/>
        <w:spacing w:line="360" w:lineRule="auto"/>
        <w:widowControl w:val="off"/>
        <w:rPr>
          <w:rStyle w:val="1250"/>
          <w:rFonts w:ascii="宋体" w:hAnsi="宋体"/>
          <w:color w:val="auto"/>
          <w:spacing w:val="6"/>
          <w:sz w:val="24"/>
          <w:highlight w:val="none"/>
        </w:rPr>
      </w:pPr>
      <w:r>
        <w:rPr>
          <w:rStyle w:val="1250"/>
          <w:rFonts w:ascii="宋体" w:hAnsi="宋体"/>
          <w:color w:val="auto"/>
          <w:spacing w:val="6"/>
          <w:sz w:val="24"/>
          <w:highlight w:val="none"/>
        </w:rPr>
        <w:t xml:space="preserve">本单位对上述声明的真实性负责。如有虚假，将依法承担相应责任。</w:t>
      </w:r>
      <w:r/>
    </w:p>
    <w:p>
      <w:pPr>
        <w:pStyle w:val="1000"/>
        <w:ind w:firstLine="504"/>
        <w:jc w:val="left"/>
        <w:spacing w:line="360" w:lineRule="auto"/>
        <w:widowControl w:val="off"/>
        <w:rPr>
          <w:rStyle w:val="1250"/>
          <w:rFonts w:ascii="宋体" w:hAnsi="宋体"/>
          <w:color w:val="auto"/>
          <w:spacing w:val="6"/>
          <w:sz w:val="24"/>
          <w:highlight w:val="none"/>
        </w:rPr>
      </w:pPr>
      <w:r>
        <w:rPr>
          <w:rFonts w:ascii="宋体" w:hAnsi="宋体"/>
          <w:color w:val="auto"/>
          <w:spacing w:val="6"/>
          <w:sz w:val="24"/>
          <w:highlight w:val="none"/>
        </w:rPr>
      </w:r>
      <w:r/>
    </w:p>
    <w:p>
      <w:pPr>
        <w:pStyle w:val="1000"/>
        <w:ind w:firstLine="480"/>
        <w:jc w:val="left"/>
        <w:spacing w:line="360" w:lineRule="auto"/>
        <w:widowControl w:val="off"/>
        <w:rPr>
          <w:rStyle w:val="1250"/>
          <w:rFonts w:ascii="宋体" w:hAnsi="宋体" w:cs="Times New Roman"/>
          <w:color w:val="auto"/>
          <w:sz w:val="24"/>
          <w:szCs w:val="22"/>
          <w:highlight w:val="none"/>
        </w:rPr>
      </w:pPr>
      <w:r>
        <w:rPr>
          <w:rFonts w:ascii="宋体" w:hAnsi="宋体" w:cs="Times New Roman"/>
          <w:color w:val="auto"/>
          <w:sz w:val="24"/>
          <w:szCs w:val="22"/>
          <w:highlight w:val="none"/>
        </w:rPr>
      </w:r>
      <w:r/>
    </w:p>
    <w:p>
      <w:pPr>
        <w:pStyle w:val="1000"/>
        <w:ind w:firstLine="3600"/>
        <w:jc w:val="left"/>
        <w:spacing w:line="360" w:lineRule="auto"/>
        <w:widowControl w:val="off"/>
        <w:rPr>
          <w:rStyle w:val="1250"/>
          <w:rFonts w:ascii="宋体" w:hAnsi="宋体" w:cs="Times New Roman"/>
          <w:color w:val="auto"/>
          <w:sz w:val="24"/>
          <w:szCs w:val="22"/>
          <w:highlight w:val="none"/>
        </w:rPr>
      </w:pPr>
      <w:r>
        <w:rPr>
          <w:rStyle w:val="1250"/>
          <w:rFonts w:ascii="宋体" w:hAnsi="宋体" w:cs="Times New Roman"/>
          <w:color w:val="auto"/>
          <w:sz w:val="24"/>
          <w:szCs w:val="22"/>
          <w:highlight w:val="none"/>
        </w:rPr>
        <w:t xml:space="preserve">供应商：（</w:t>
      </w:r>
      <w:r>
        <w:rPr>
          <w:rStyle w:val="1250"/>
          <w:rFonts w:hint="eastAsia" w:ascii="宋体" w:hAnsi="宋体" w:cs="Times New Roman"/>
          <w:color w:val="auto"/>
          <w:sz w:val="24"/>
          <w:szCs w:val="22"/>
          <w:highlight w:val="none"/>
        </w:rPr>
        <w:t xml:space="preserve">电子签章</w:t>
      </w:r>
      <w:r>
        <w:rPr>
          <w:rStyle w:val="1250"/>
          <w:rFonts w:ascii="宋体" w:hAnsi="宋体" w:cs="Times New Roman"/>
          <w:color w:val="auto"/>
          <w:sz w:val="24"/>
          <w:szCs w:val="22"/>
          <w:highlight w:val="none"/>
        </w:rPr>
        <w:t xml:space="preserve">）</w:t>
      </w:r>
      <w:r/>
    </w:p>
    <w:p>
      <w:pPr>
        <w:pStyle w:val="1000"/>
        <w:ind w:firstLine="3600"/>
        <w:jc w:val="left"/>
        <w:spacing w:line="360" w:lineRule="auto"/>
        <w:widowControl w:val="off"/>
        <w:rPr>
          <w:rStyle w:val="1250"/>
          <w:rFonts w:ascii="宋体" w:hAnsi="宋体" w:cs="Times New Roman"/>
          <w:color w:val="auto"/>
          <w:sz w:val="24"/>
          <w:szCs w:val="22"/>
          <w:highlight w:val="none"/>
        </w:rPr>
      </w:pPr>
      <w:r>
        <w:rPr>
          <w:rStyle w:val="1250"/>
          <w:rFonts w:ascii="宋体" w:hAnsi="宋体" w:cs="Times New Roman"/>
          <w:color w:val="auto"/>
          <w:sz w:val="24"/>
          <w:szCs w:val="22"/>
          <w:highlight w:val="none"/>
        </w:rPr>
        <w:t xml:space="preserve">法定代表人或授权代表：（签字或盖章） </w:t>
      </w:r>
      <w:r/>
    </w:p>
    <w:p>
      <w:pPr>
        <w:pStyle w:val="1000"/>
        <w:ind w:firstLine="3600"/>
        <w:jc w:val="left"/>
        <w:spacing w:line="360" w:lineRule="auto"/>
        <w:widowControl w:val="off"/>
        <w:rPr>
          <w:rStyle w:val="1250"/>
          <w:rFonts w:ascii="宋体" w:hAnsi="宋体" w:cs="Times New Roman"/>
          <w:color w:val="auto"/>
          <w:sz w:val="24"/>
          <w:szCs w:val="22"/>
          <w:highlight w:val="none"/>
        </w:rPr>
      </w:pPr>
      <w:r>
        <w:rPr>
          <w:rStyle w:val="1250"/>
          <w:rFonts w:ascii="宋体" w:hAnsi="宋体" w:cs="Times New Roman"/>
          <w:color w:val="auto"/>
          <w:sz w:val="24"/>
          <w:szCs w:val="22"/>
          <w:highlight w:val="none"/>
        </w:rPr>
        <w:t xml:space="preserve">日期：  </w:t>
      </w:r>
      <w:r/>
    </w:p>
    <w:p>
      <w:pPr>
        <w:pStyle w:val="1000"/>
        <w:jc w:val="center"/>
        <w:widowControl w:val="off"/>
        <w:rPr>
          <w:rStyle w:val="1250"/>
          <w:rFonts w:ascii="宋体" w:hAnsi="宋体"/>
          <w:color w:val="auto"/>
          <w:sz w:val="24"/>
          <w:szCs w:val="24"/>
          <w:highlight w:val="none"/>
        </w:rPr>
        <w:sectPr>
          <w:headerReference w:type="default" r:id="rId10"/>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24"/>
          <w:szCs w:val="24"/>
          <w:highlight w:val="none"/>
        </w:rPr>
      </w:r>
      <w:r/>
    </w:p>
    <w:p>
      <w:pPr>
        <w:ind w:right="29"/>
        <w:jc w:val="center"/>
        <w:spacing w:line="360" w:lineRule="auto"/>
        <w:rPr>
          <w:rFonts w:hint="eastAsia" w:ascii="宋体" w:hAnsi="宋体" w:eastAsia="宋体" w:cs="宋体"/>
          <w:color w:val="auto"/>
          <w:sz w:val="24"/>
          <w:szCs w:val="24"/>
          <w:highlight w:val="none"/>
        </w:rPr>
      </w:pPr>
      <w:r>
        <w:rPr>
          <w:rFonts w:hint="eastAsia" w:ascii="宋体" w:hAnsi="宋体" w:cs="宋体"/>
          <w:b/>
          <w:color w:val="auto"/>
          <w:sz w:val="36"/>
          <w:highlight w:val="none"/>
          <w:lang w:val="en-US" w:eastAsia="zh-CN"/>
        </w:rPr>
        <w:t xml:space="preserve">12</w:t>
      </w:r>
      <w:r>
        <w:rPr>
          <w:rFonts w:hint="eastAsia" w:ascii="宋体" w:hAnsi="宋体" w:eastAsia="宋体" w:cs="宋体"/>
          <w:b/>
          <w:color w:val="auto"/>
          <w:sz w:val="36"/>
          <w:highlight w:val="none"/>
        </w:rPr>
        <w:t xml:space="preserve">、</w:t>
      </w:r>
      <w:r>
        <w:rPr>
          <w:rFonts w:hint="eastAsia" w:ascii="宋体" w:hAnsi="宋体" w:eastAsia="宋体" w:cs="宋体"/>
          <w:b/>
          <w:color w:val="auto"/>
          <w:sz w:val="36"/>
          <w:highlight w:val="none"/>
          <w:lang w:eastAsia="zh-CN"/>
        </w:rPr>
        <w:t xml:space="preserve">合同草案条款</w:t>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拟签订的合同文本</w:t>
      </w:r>
      <w:r/>
    </w:p>
    <w:p>
      <w:pPr>
        <w:pStyle w:val="1066"/>
        <w:jc w:val="center"/>
        <w:spacing w:after="312" w:line="520" w:lineRule="exact"/>
        <w:rPr>
          <w:rFonts w:hAnsi="宋体" w:cs="宋体"/>
          <w:b/>
          <w:color w:val="auto"/>
          <w:sz w:val="32"/>
          <w:szCs w:val="32"/>
          <w:highlight w:val="none"/>
        </w:rPr>
      </w:pPr>
      <w:r>
        <w:rPr>
          <w:rFonts w:hAnsi="宋体" w:cs="宋体"/>
          <w:b/>
          <w:color w:val="auto"/>
          <w:sz w:val="32"/>
          <w:szCs w:val="32"/>
          <w:highlight w:val="none"/>
        </w:rPr>
      </w:r>
      <w:r/>
    </w:p>
    <w:p>
      <w:pPr>
        <w:pStyle w:val="1000"/>
        <w:jc w:val="center"/>
        <w:rPr>
          <w:rFonts w:ascii="宋体" w:hAnsi="宋体"/>
          <w:b/>
          <w:color w:val="auto"/>
          <w:sz w:val="52"/>
          <w:szCs w:val="52"/>
          <w:highlight w:val="none"/>
        </w:rPr>
      </w:pPr>
      <w:r>
        <w:rPr>
          <w:rFonts w:ascii="宋体" w:hAnsi="宋体" w:eastAsia="宋体" w:cs="宋体"/>
          <w:b/>
          <w:color w:val="auto"/>
          <w:sz w:val="72"/>
          <w:szCs w:val="52"/>
          <w:highlight w:val="none"/>
        </w:rPr>
        <w:t xml:space="preserve">建设工程施工合同</w:t>
      </w:r>
      <w:r>
        <w:rPr>
          <w:rFonts w:ascii="宋体" w:hAnsi="宋体" w:eastAsia="宋体" w:cs="宋体"/>
          <w:b/>
          <w:color w:val="auto"/>
          <w:sz w:val="52"/>
          <w:szCs w:val="52"/>
          <w:highlight w:val="none"/>
        </w:rPr>
        <w:br/>
      </w:r>
      <w:r>
        <w:rPr>
          <w:rFonts w:ascii="宋体" w:hAnsi="宋体" w:eastAsia="宋体" w:cs="宋体"/>
          <w:b/>
          <w:color w:val="auto"/>
          <w:sz w:val="52"/>
          <w:szCs w:val="52"/>
          <w:highlight w:val="none"/>
        </w:rPr>
        <w:t xml:space="preserve">（示范文本）</w:t>
      </w:r>
      <w:r/>
    </w:p>
    <w:p>
      <w:pPr>
        <w:pStyle w:val="1000"/>
        <w:jc w:val="center"/>
        <w:rPr>
          <w:rFonts w:ascii="宋体" w:hAnsi="宋体"/>
          <w:bCs/>
          <w:color w:val="auto"/>
          <w:sz w:val="32"/>
          <w:szCs w:val="32"/>
          <w:highlight w:val="none"/>
        </w:rPr>
      </w:pPr>
      <w:r>
        <w:rPr>
          <w:rFonts w:ascii="宋体" w:hAnsi="宋体" w:eastAsia="宋体" w:cs="宋体"/>
          <w:bCs/>
          <w:color w:val="auto"/>
          <w:sz w:val="32"/>
          <w:szCs w:val="32"/>
          <w:highlight w:val="none"/>
        </w:rPr>
        <w:t xml:space="preserve">（GF—2017—0201）</w:t>
      </w:r>
      <w:r/>
    </w:p>
    <w:p>
      <w:pPr>
        <w:pStyle w:val="1242"/>
        <w:ind w:firstLine="643"/>
        <w:rPr>
          <w:rFonts w:ascii="宋体" w:hAnsi="宋体" w:cs="宋体"/>
          <w:b/>
          <w:color w:val="auto"/>
          <w:sz w:val="32"/>
          <w:szCs w:val="32"/>
          <w:highlight w:val="none"/>
        </w:rPr>
      </w:pPr>
      <w:r>
        <w:rPr>
          <w:rFonts w:ascii="宋体" w:hAnsi="宋体" w:cs="宋体"/>
          <w:b/>
          <w:color w:val="auto"/>
          <w:sz w:val="32"/>
          <w:szCs w:val="32"/>
          <w:highlight w:val="none"/>
        </w:rPr>
      </w:r>
      <w:r/>
    </w:p>
    <w:p>
      <w:pPr>
        <w:pStyle w:val="1242"/>
        <w:jc w:val="center"/>
        <w:rPr>
          <w:rFonts w:ascii="宋体" w:hAnsi="宋体" w:cs="宋体"/>
          <w:b/>
          <w:color w:val="auto"/>
          <w:sz w:val="52"/>
          <w:szCs w:val="52"/>
          <w:highlight w:val="none"/>
        </w:rPr>
        <w:sectPr>
          <w:headerReference w:type="default" r:id="rId11"/>
          <w:footerReference w:type="default" r:id="rId18"/>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cs="宋体"/>
          <w:b/>
          <w:color w:val="auto"/>
          <w:sz w:val="52"/>
          <w:szCs w:val="52"/>
          <w:highlight w:val="none"/>
        </w:rPr>
      </w:r>
      <w:r/>
    </w:p>
    <w:p>
      <w:pPr>
        <w:pStyle w:val="983"/>
        <w:jc w:val="center"/>
        <w:rPr>
          <w:b/>
          <w:bCs/>
          <w:color w:val="auto"/>
          <w:highlight w:val="none"/>
        </w:rPr>
      </w:pPr>
      <w:r/>
      <w:bookmarkStart w:id="50" w:name="_Toc2049"/>
      <w:r/>
      <w:bookmarkStart w:id="51" w:name="_Toc358569763"/>
      <w:r>
        <w:rPr>
          <w:b/>
          <w:bCs/>
          <w:color w:val="auto"/>
          <w:highlight w:val="none"/>
        </w:rPr>
        <w:t xml:space="preserve">第一部分 协议书</w:t>
      </w:r>
      <w:bookmarkEnd w:id="50"/>
      <w:r/>
      <w:r/>
    </w:p>
    <w:p>
      <w:pPr>
        <w:ind w:left="0" w:right="0" w:firstLine="0"/>
        <w:keepLines w:val="0"/>
        <w:keepNext w:val="0"/>
        <w:pageBreakBefore w:val="0"/>
        <w:spacing w:after="0" w:line="44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u w:val="single"/>
          <w:lang w:val="en-US" w:eastAsia="zh-CN"/>
        </w:rPr>
        <w:t xml:space="preserve">                                  </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none"/>
          <w:u w:val="single"/>
          <w:lang w:eastAsia="zh-CN"/>
        </w:rPr>
        <w:t xml:space="preserve">淮塔园林供水管网改造工程</w:t>
      </w:r>
      <w:r>
        <w:rPr>
          <w:rFonts w:hint="eastAsia" w:ascii="宋体" w:hAnsi="宋体" w:eastAsia="宋体" w:cs="宋体"/>
          <w:color w:val="auto"/>
          <w:sz w:val="24"/>
          <w:szCs w:val="24"/>
          <w:highlight w:val="none"/>
        </w:rPr>
        <w:t xml:space="preserve">施工及有关事项协商一致，共同达成如下协议：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一、工程概况</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1.工程名称：</w:t>
      </w:r>
      <w:r>
        <w:rPr>
          <w:rFonts w:hint="eastAsia" w:ascii="宋体" w:hAnsi="宋体" w:cs="宋体"/>
          <w:color w:val="auto"/>
          <w:sz w:val="24"/>
          <w:highlight w:val="none"/>
          <w:u w:val="single"/>
          <w:lang w:eastAsia="zh-CN"/>
        </w:rPr>
        <w:t xml:space="preserve">淮塔园林供水管网改造工程。</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2.工程地点：</w:t>
      </w:r>
      <w:r>
        <w:rPr>
          <w:rFonts w:hint="eastAsia" w:ascii="宋体" w:hAnsi="宋体" w:cs="宋体"/>
          <w:color w:val="auto"/>
          <w:sz w:val="24"/>
          <w:szCs w:val="24"/>
          <w:highlight w:val="none"/>
          <w:u w:val="single"/>
          <w:lang w:val="en-US" w:eastAsia="zh-CN"/>
        </w:rPr>
        <w:t xml:space="preserve">泉山区。</w:t>
      </w:r>
      <w:r/>
    </w:p>
    <w:p>
      <w:pPr>
        <w:ind w:left="0" w:right="0" w:firstLine="588"/>
        <w:keepLines w:val="0"/>
        <w:keepNext w:val="0"/>
        <w:pageBreakBefore w:val="0"/>
        <w:spacing w:after="0" w:line="440" w:lineRule="exact"/>
        <w:widowControl/>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3.工程立项批准文号：</w:t>
      </w:r>
      <w:r>
        <w:rPr>
          <w:rFonts w:hint="eastAsia" w:ascii="宋体" w:hAnsi="宋体" w:cs="宋体"/>
          <w:color w:val="auto"/>
          <w:sz w:val="24"/>
          <w:szCs w:val="24"/>
          <w:highlight w:val="none"/>
          <w:u w:val="single"/>
          <w:lang w:val="en-US" w:eastAsia="zh-CN"/>
        </w:rPr>
        <w:t xml:space="preserve">/。</w:t>
      </w:r>
      <w:r/>
    </w:p>
    <w:p>
      <w:pPr>
        <w:ind w:left="0" w:right="0" w:firstLine="588"/>
        <w:keepLines w:val="0"/>
        <w:keepNext w:val="0"/>
        <w:pageBreakBefore w:val="0"/>
        <w:spacing w:after="0" w:line="440" w:lineRule="exact"/>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.资金来源：</w:t>
      </w:r>
      <w:r>
        <w:rPr>
          <w:rFonts w:hint="eastAsia" w:ascii="宋体" w:hAnsi="宋体" w:cs="宋体"/>
          <w:color w:val="auto"/>
          <w:sz w:val="24"/>
          <w:szCs w:val="24"/>
          <w:highlight w:val="none"/>
          <w:lang w:val="en-US" w:eastAsia="zh-CN"/>
        </w:rPr>
        <w:t xml:space="preserve">财政。</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.工程内容：</w:t>
      </w:r>
      <w:r>
        <w:rPr>
          <w:rFonts w:hint="eastAsia" w:ascii="宋体" w:hAnsi="宋体" w:cs="宋体"/>
          <w:color w:val="auto"/>
          <w:sz w:val="24"/>
          <w:highlight w:val="none"/>
          <w:lang w:eastAsia="zh-CN"/>
        </w:rPr>
        <w:t xml:space="preserve">淮塔园林供水管网改造工程，</w:t>
      </w:r>
      <w:r>
        <w:rPr>
          <w:rFonts w:hint="eastAsia" w:ascii="宋体" w:hAnsi="宋体" w:cs="宋体"/>
          <w:color w:val="auto"/>
          <w:sz w:val="24"/>
          <w:highlight w:val="none"/>
        </w:rPr>
        <w:t xml:space="preserve">具体详见工程量清单</w:t>
      </w:r>
      <w:r>
        <w:rPr>
          <w:rFonts w:hint="eastAsia" w:ascii="宋体" w:hAnsi="宋体" w:cs="宋体"/>
          <w:color w:val="auto"/>
          <w:sz w:val="24"/>
          <w:highlight w:val="none"/>
          <w:lang w:val="en-US" w:eastAsia="zh-CN"/>
        </w:rPr>
        <w:t xml:space="preserve">及图纸所包含的全部内容。</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.工程承包范围：</w:t>
      </w:r>
      <w:r>
        <w:rPr>
          <w:rFonts w:hint="eastAsia" w:ascii="宋体" w:hAnsi="宋体" w:eastAsia="宋体" w:cs="宋体"/>
          <w:color w:val="auto"/>
          <w:sz w:val="24"/>
          <w:szCs w:val="24"/>
          <w:highlight w:val="none"/>
          <w:u w:val="single"/>
        </w:rPr>
        <w:t xml:space="preserve">详见工程量清单及</w:t>
      </w:r>
      <w:r>
        <w:rPr>
          <w:rFonts w:hint="eastAsia" w:ascii="宋体" w:hAnsi="宋体" w:cs="宋体"/>
          <w:color w:val="auto"/>
          <w:sz w:val="24"/>
          <w:szCs w:val="24"/>
          <w:highlight w:val="none"/>
          <w:u w:val="single"/>
          <w:lang w:val="en-US" w:eastAsia="zh-CN"/>
        </w:rPr>
        <w:t xml:space="preserve">图纸</w:t>
      </w:r>
      <w:r>
        <w:rPr>
          <w:rFonts w:hint="eastAsia" w:ascii="宋体" w:hAnsi="宋体" w:eastAsia="宋体" w:cs="宋体"/>
          <w:color w:val="auto"/>
          <w:sz w:val="24"/>
          <w:szCs w:val="24"/>
          <w:highlight w:val="none"/>
          <w:u w:val="single"/>
        </w:rPr>
        <w:t xml:space="preserve">所</w:t>
      </w:r>
      <w:r>
        <w:rPr>
          <w:rFonts w:hint="eastAsia" w:ascii="宋体" w:hAnsi="宋体" w:cs="宋体"/>
          <w:color w:val="auto"/>
          <w:sz w:val="24"/>
          <w:szCs w:val="24"/>
          <w:highlight w:val="none"/>
          <w:u w:val="single"/>
          <w:lang w:val="en-US" w:eastAsia="zh-CN"/>
        </w:rPr>
        <w:t xml:space="preserve">包</w:t>
      </w:r>
      <w:r>
        <w:rPr>
          <w:rFonts w:hint="eastAsia" w:ascii="宋体" w:hAnsi="宋体" w:eastAsia="宋体" w:cs="宋体"/>
          <w:color w:val="auto"/>
          <w:sz w:val="24"/>
          <w:szCs w:val="24"/>
          <w:highlight w:val="none"/>
          <w:u w:val="single"/>
        </w:rPr>
        <w:t xml:space="preserve">含项目</w:t>
      </w:r>
      <w:r>
        <w:rPr>
          <w:rFonts w:hint="eastAsia" w:ascii="宋体" w:hAnsi="宋体" w:eastAsia="宋体" w:cs="宋体"/>
          <w:color w:val="auto"/>
          <w:sz w:val="24"/>
          <w:szCs w:val="24"/>
          <w:highlight w:val="none"/>
          <w:u w:val="single"/>
          <w:lang w:val="en-US" w:eastAsia="zh-CN"/>
        </w:rPr>
        <w:t xml:space="preserve">全部</w:t>
      </w:r>
      <w:r>
        <w:rPr>
          <w:rFonts w:hint="eastAsia" w:ascii="宋体" w:hAnsi="宋体" w:eastAsia="宋体" w:cs="宋体"/>
          <w:color w:val="auto"/>
          <w:sz w:val="24"/>
          <w:szCs w:val="24"/>
          <w:highlight w:val="none"/>
          <w:u w:val="single"/>
        </w:rPr>
        <w:t xml:space="preserve">内容</w:t>
      </w:r>
      <w:r>
        <w:rPr>
          <w:rFonts w:hint="eastAsia" w:ascii="宋体" w:hAnsi="宋体" w:eastAsia="宋体" w:cs="宋体"/>
          <w:color w:val="auto"/>
          <w:sz w:val="24"/>
          <w:szCs w:val="24"/>
          <w:highlight w:val="none"/>
          <w:u w:val="single"/>
          <w:lang w:eastAsia="zh-CN"/>
        </w:rPr>
        <w:t xml:space="preserve">。</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承包方式：</w:t>
      </w:r>
      <w:r>
        <w:rPr>
          <w:rFonts w:hint="eastAsia" w:ascii="宋体" w:hAnsi="宋体" w:eastAsia="宋体" w:cs="宋体"/>
          <w:color w:val="auto"/>
          <w:sz w:val="24"/>
          <w:szCs w:val="24"/>
          <w:highlight w:val="none"/>
          <w:u w:val="single"/>
        </w:rPr>
        <w:t xml:space="preserve">包工包料。</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二、合同工期</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日。（实际开工日期以发包人书面通知的开工日期为准）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日。（实际竣工日期以工程接收证书中写明的日期为准）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三、质量标准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质量要求标准：</w:t>
      </w:r>
      <w:r>
        <w:rPr>
          <w:rFonts w:hint="eastAsia" w:ascii="宋体" w:hAnsi="宋体" w:eastAsia="宋体" w:cs="宋体"/>
          <w:color w:val="auto"/>
          <w:sz w:val="24"/>
          <w:szCs w:val="24"/>
          <w:highlight w:val="none"/>
          <w:u w:val="single"/>
        </w:rPr>
        <w:t xml:space="preserve">合格（符合国家标准及行业要求</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四、签约合同价与合同价格形式</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1.签约合同价为：</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五、项目</w:t>
      </w:r>
      <w:r>
        <w:rPr>
          <w:rFonts w:hint="eastAsia" w:ascii="宋体" w:hAnsi="宋体" w:eastAsia="宋体" w:cs="宋体"/>
          <w:color w:val="auto"/>
          <w:sz w:val="24"/>
          <w:szCs w:val="24"/>
          <w:highlight w:val="none"/>
          <w:lang w:val="en-US" w:eastAsia="zh-CN"/>
        </w:rPr>
        <w:t xml:space="preserve">经理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六、合同文件构成</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本协议书与下列文件一起构成合同文件：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（1）中标通知书（如果有）；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（2）投标函及其附录（如果有）；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（3）专用合同条款及其附件；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（4）通用合同条款；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（5）技术标准和要求；</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（6）图纸；</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（7）已标价工程量清单或预算书；</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（8）其他合同文件。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除专用合同条款另有约定外，组成本合同的文件及优先解释顺序与本合同第二部分《通用条款》第1.5款赋予的规定一致。</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七、承诺</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2.承包人承诺按照法律规定及合同约定组织完成工程施工，确保工程质量和安全，不进行转包、违法分包及挂靠，并在缺陷责任期及保修期内承担相应的工程维修责任。</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八、词语含义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本协议书中词语含义与第二部分通用合同条款中赋予的含义相同。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九、签订时间</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十、签订地点</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本合同在</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十一、补充协议</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合同未尽事宜，合同当事人另行签订补充协议，补充协议是合同的组成部分。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十二、合同生效</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双方签字、盖章后</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生效。</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十三、合同份数</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本合同一式</w:t>
      </w:r>
      <w:r>
        <w:rPr>
          <w:rFonts w:hint="eastAsia" w:ascii="宋体" w:hAnsi="宋体" w:cs="宋体"/>
          <w:color w:val="auto"/>
          <w:sz w:val="24"/>
          <w:szCs w:val="24"/>
          <w:highlight w:val="none"/>
          <w:u w:val="single"/>
          <w:lang w:val="en-US" w:eastAsia="zh-CN"/>
        </w:rPr>
        <w:t xml:space="preserve">陆</w:t>
      </w:r>
      <w:r>
        <w:rPr>
          <w:rFonts w:hint="eastAsia" w:ascii="宋体" w:hAnsi="宋体" w:eastAsia="宋体" w:cs="宋体"/>
          <w:color w:val="auto"/>
          <w:sz w:val="24"/>
          <w:szCs w:val="24"/>
          <w:highlight w:val="none"/>
        </w:rPr>
        <w:t xml:space="preserve">份，均具有同等法律效力，发包人执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四 </w:t>
      </w:r>
      <w:r>
        <w:rPr>
          <w:rFonts w:hint="eastAsia" w:ascii="宋体" w:hAnsi="宋体" w:eastAsia="宋体" w:cs="宋体"/>
          <w:color w:val="auto"/>
          <w:sz w:val="24"/>
          <w:szCs w:val="24"/>
          <w:highlight w:val="none"/>
        </w:rPr>
        <w:t xml:space="preserve">份，承包人执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二 </w:t>
      </w:r>
      <w:r>
        <w:rPr>
          <w:rFonts w:hint="eastAsia" w:ascii="宋体" w:hAnsi="宋体" w:eastAsia="宋体" w:cs="宋体"/>
          <w:color w:val="auto"/>
          <w:sz w:val="24"/>
          <w:szCs w:val="24"/>
          <w:highlight w:val="none"/>
        </w:rPr>
        <w:t xml:space="preserve">份。</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1065"/>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6"/>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承包人：(公章)</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组织机构代码：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地址：</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邮政编码：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法定代表人：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电话：</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传真：</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电子信箱：</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开户银行：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账号：</w:t>
      </w:r>
      <w:r/>
    </w:p>
    <w:p>
      <w:pPr>
        <w:ind w:right="-36"/>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both"/>
        <w:keepLines w:val="0"/>
        <w:keepNext w:val="0"/>
        <w:pageBreakBefore w:val="0"/>
        <w:spacing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983"/>
        <w:jc w:val="center"/>
        <w:rPr>
          <w:rFonts w:hint="eastAsia"/>
          <w:b/>
          <w:bCs/>
          <w:color w:val="auto"/>
          <w:highlight w:val="none"/>
        </w:rPr>
      </w:pPr>
      <w:r/>
      <w:bookmarkStart w:id="52" w:name="_Toc75"/>
      <w:r>
        <w:rPr>
          <w:rFonts w:hint="eastAsia"/>
          <w:b/>
          <w:bCs/>
          <w:color w:val="auto"/>
          <w:highlight w:val="none"/>
        </w:rPr>
        <w:t xml:space="preserve">第二部分</w:t>
      </w:r>
      <w:r>
        <w:rPr>
          <w:rFonts w:hint="eastAsia"/>
          <w:b/>
          <w:bCs/>
          <w:color w:val="auto"/>
          <w:highlight w:val="none"/>
          <w:lang w:val="en-US" w:eastAsia="zh-CN"/>
        </w:rPr>
        <w:t xml:space="preserve"> </w:t>
      </w:r>
      <w:r>
        <w:rPr>
          <w:rFonts w:hint="eastAsia"/>
          <w:b/>
          <w:bCs/>
          <w:color w:val="auto"/>
          <w:highlight w:val="none"/>
        </w:rPr>
        <w:t xml:space="preserve">通用合同条款</w:t>
      </w:r>
      <w:bookmarkEnd w:id="52"/>
      <w:r/>
      <w:r/>
    </w:p>
    <w:p>
      <w:pPr>
        <w:ind w:left="0" w:right="0" w:firstLine="440"/>
        <w:keepLines w:val="0"/>
        <w:keepNext w:val="0"/>
        <w:pageBreakBefore w:val="0"/>
        <w:spacing w:after="0" w:line="36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采用《建设工程施工合同（示范文本）》（GF—2017—0201）。</w:t>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此部分在正式签订合同时应不加修改的、完整的装订在合同中</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983"/>
        <w:jc w:val="center"/>
        <w:rPr>
          <w:b/>
          <w:bCs/>
          <w:color w:val="auto"/>
          <w:highlight w:val="none"/>
        </w:rPr>
      </w:pPr>
      <w:r/>
      <w:bookmarkStart w:id="53" w:name="_Toc15325"/>
      <w:r>
        <w:rPr>
          <w:b/>
          <w:bCs/>
          <w:color w:val="auto"/>
          <w:highlight w:val="none"/>
        </w:rPr>
        <w:t xml:space="preserve">第三部分 专用合同条款</w:t>
      </w:r>
      <w:bookmarkEnd w:id="53"/>
      <w:r/>
      <w:r/>
    </w:p>
    <w:p>
      <w:pPr>
        <w:ind w:left="0" w:right="0" w:firstLine="482"/>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1、一般约定</w:t>
      </w:r>
      <w:r/>
    </w:p>
    <w:p>
      <w:pPr>
        <w:ind w:left="0" w:right="0" w:firstLine="482"/>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1.1 词语定义</w:t>
      </w:r>
      <w:r/>
    </w:p>
    <w:p>
      <w:pPr>
        <w:ind w:left="0" w:right="0" w:firstLine="482"/>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1.1.1合同</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其他合同文件包括：</w:t>
      </w:r>
      <w:r>
        <w:rPr>
          <w:rFonts w:hint="eastAsia" w:ascii="宋体" w:hAnsi="宋体" w:eastAsia="宋体" w:cs="宋体"/>
          <w:color w:val="auto"/>
          <w:sz w:val="24"/>
          <w:szCs w:val="24"/>
          <w:highlight w:val="none"/>
          <w:u w:val="single"/>
        </w:rPr>
        <w:t xml:space="preserve">合同履行过程中经双方授权代表共同签字认可的对合同有影响的会议纪要、签证及设计变更等相关书面资料。</w:t>
      </w:r>
      <w:r/>
    </w:p>
    <w:p>
      <w:pPr>
        <w:ind w:left="0" w:right="0" w:firstLine="482"/>
        <w:keepLines w:val="0"/>
        <w:keepNext w:val="0"/>
        <w:pageBreakBefore w:val="0"/>
        <w:spacing w:after="0" w:line="324"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1.1.2合同当事人及其他相关方</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监理人：</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设计人：</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2"/>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3 工程和设备</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作为施工现场组成部分的其他场所包括：</w:t>
      </w:r>
      <w:r>
        <w:rPr>
          <w:rFonts w:hint="eastAsia" w:ascii="宋体" w:hAnsi="宋体" w:eastAsia="宋体" w:cs="宋体"/>
          <w:color w:val="auto"/>
          <w:sz w:val="24"/>
          <w:szCs w:val="24"/>
          <w:highlight w:val="none"/>
          <w:u w:val="single"/>
        </w:rPr>
        <w:t xml:space="preserve">现场临时办公及施工场地</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永久占地包括：</w:t>
      </w:r>
      <w:r>
        <w:rPr>
          <w:rFonts w:hint="eastAsia" w:ascii="宋体" w:hAnsi="宋体" w:eastAsia="宋体" w:cs="宋体"/>
          <w:color w:val="auto"/>
          <w:sz w:val="24"/>
          <w:szCs w:val="24"/>
          <w:highlight w:val="none"/>
          <w:u w:val="single"/>
        </w:rPr>
        <w:t xml:space="preserve">规划用地范围内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临时占地包括：</w:t>
      </w:r>
      <w:r>
        <w:rPr>
          <w:rFonts w:hint="eastAsia" w:ascii="宋体" w:hAnsi="宋体" w:eastAsia="宋体" w:cs="宋体"/>
          <w:color w:val="auto"/>
          <w:sz w:val="24"/>
          <w:szCs w:val="24"/>
          <w:highlight w:val="none"/>
          <w:u w:val="single"/>
        </w:rPr>
        <w:t xml:space="preserve">双方在合同履行过程中确定</w:t>
      </w:r>
      <w:r>
        <w:rPr>
          <w:rFonts w:hint="eastAsia" w:ascii="宋体" w:hAnsi="宋体" w:eastAsia="宋体" w:cs="宋体"/>
          <w:color w:val="auto"/>
          <w:sz w:val="24"/>
          <w:szCs w:val="24"/>
          <w:highlight w:val="none"/>
        </w:rPr>
        <w:t xml:space="preserve">。</w:t>
      </w:r>
      <w:r/>
    </w:p>
    <w:p>
      <w:pPr>
        <w:ind w:left="0" w:right="0" w:firstLine="482"/>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 法律 </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适用于工程的标准规范包括：</w:t>
      </w:r>
      <w:r>
        <w:rPr>
          <w:rFonts w:hint="eastAsia" w:ascii="宋体" w:hAnsi="宋体" w:eastAsia="宋体" w:cs="宋体"/>
          <w:color w:val="auto"/>
          <w:sz w:val="24"/>
          <w:szCs w:val="24"/>
          <w:highlight w:val="none"/>
          <w:u w:val="single"/>
        </w:rPr>
        <w:t xml:space="preserve"> 现行国家及江苏省、徐州市的有关标准及其他适用于本工程的技术标准、规范等。</w:t>
      </w:r>
      <w:r/>
    </w:p>
    <w:p>
      <w:pPr>
        <w:ind w:left="0" w:right="0" w:firstLine="482"/>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 标准和规范</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适用于工程的标准规范包括：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现行国家及江苏省、徐州市的有关标准及其他适用于本工程的技术标准、规范等。</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符合有关行业主管部门及发包人的要求</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0" w:right="0" w:firstLine="482"/>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 合同文件的优先顺序</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.1合同文件组成及优先顺序为：</w:t>
      </w:r>
      <w:r/>
    </w:p>
    <w:p>
      <w:pPr>
        <w:numPr>
          <w:ilvl w:val="0"/>
          <w:numId w:val="0"/>
        </w:num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合同专用条款及补充协议书；</w:t>
      </w:r>
      <w:r/>
    </w:p>
    <w:p>
      <w:pPr>
        <w:numPr>
          <w:ilvl w:val="0"/>
          <w:numId w:val="0"/>
        </w:num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中标通知书；</w:t>
      </w:r>
      <w:r/>
    </w:p>
    <w:p>
      <w:pPr>
        <w:numPr>
          <w:ilvl w:val="0"/>
          <w:numId w:val="0"/>
        </w:num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招标文件；</w:t>
      </w:r>
      <w:r/>
    </w:p>
    <w:p>
      <w:pPr>
        <w:numPr>
          <w:ilvl w:val="0"/>
          <w:numId w:val="0"/>
        </w:num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u w:val="single"/>
        </w:rPr>
        <w:t xml:space="preserve">投标书及其附件；</w:t>
      </w:r>
      <w:r/>
    </w:p>
    <w:p>
      <w:pPr>
        <w:numPr>
          <w:ilvl w:val="0"/>
          <w:numId w:val="0"/>
        </w:num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u w:val="single"/>
        </w:rPr>
        <w:t xml:space="preserve">通用合同条款；</w:t>
      </w:r>
      <w:r/>
    </w:p>
    <w:p>
      <w:pPr>
        <w:numPr>
          <w:ilvl w:val="0"/>
          <w:numId w:val="0"/>
        </w:num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u w:val="single"/>
        </w:rPr>
        <w:t xml:space="preserve">技术标准和要求；</w:t>
      </w:r>
      <w:r/>
    </w:p>
    <w:p>
      <w:pPr>
        <w:numPr>
          <w:ilvl w:val="0"/>
          <w:numId w:val="0"/>
        </w:num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u w:val="single"/>
        </w:rPr>
        <w:t xml:space="preserve">图纸；</w:t>
      </w:r>
      <w:r/>
    </w:p>
    <w:p>
      <w:pPr>
        <w:numPr>
          <w:ilvl w:val="0"/>
          <w:numId w:val="0"/>
        </w:num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u w:val="single"/>
        </w:rPr>
        <w:t xml:space="preserve">预算书；</w:t>
      </w:r>
      <w:r/>
    </w:p>
    <w:p>
      <w:pPr>
        <w:numPr>
          <w:ilvl w:val="0"/>
          <w:numId w:val="0"/>
        </w:num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u w:val="single"/>
        </w:rPr>
        <w:t xml:space="preserve">已标价工程量清单；</w:t>
      </w:r>
      <w:r/>
    </w:p>
    <w:p>
      <w:pPr>
        <w:numPr>
          <w:ilvl w:val="0"/>
          <w:numId w:val="0"/>
        </w:num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u w:val="single"/>
        </w:rPr>
        <w:t xml:space="preserve">其他合同文件。</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双方有关工程的洽商、变更、会议纪要、双方来往函件(施工过程中的)等书面协议或文件视为本合同的组成部分，对同一事项叙述不一致的，以日期靠后的为准。</w:t>
      </w:r>
      <w:r/>
    </w:p>
    <w:p>
      <w:pPr>
        <w:ind w:left="0" w:right="0" w:firstLine="482"/>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 图纸和承包人文件</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图纸</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开工前5天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若因设计文件和图纸存在差错，则视为承包人未尽审查义务，造成的损失由承包人据实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全套施工图纸</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承包人文件</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需要由承包人提供的文件，包括：</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①本合同第二部分通用合同条款7.1和7.2编制施工组织设计、施工措施计划、施工方案报监理人审核和发包人确认；</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②应由承包人办理的许可和批准的办理结果书面报送监理人审核和发包人确认、留存；</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③拟制施工人员名册（动态），并与为其办理工伤保险的有效证明一起报送监理人审核和发包人确认；</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⑤特殊工种作业人员资格证明报送监理人审核和发包人确认；</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⑦工程质量管理体系及措施文件、质量检查制度、质量控制文件，报送监理人审核和发包人确认；</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⑧工程安全管理体系及措施文件、安全检查制度、安全控制文件，报送监理人审核和发包人确认；</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⑨发包人管理需要的其他文件。</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⑩上述文件如发包人因管理需增加时，承包人有义务按发包人提出的形式、格式、数量、时间等要求提供。</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合同签订后7日内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纸质版、电子版</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应在监理人收到承包人文件后7天内审查完毕</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现场图纸准备</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执行通用合同条款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1.7联络</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1.10 交通运输</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1.10.1 出入现场的权利</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1.10.</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场内交通</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1.10.</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超大件和超重件的运输</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承包人 </w:t>
      </w:r>
      <w:r>
        <w:rPr>
          <w:rFonts w:hint="eastAsia" w:ascii="宋体" w:hAnsi="宋体" w:eastAsia="宋体" w:cs="宋体"/>
          <w:color w:val="auto"/>
          <w:sz w:val="24"/>
          <w:szCs w:val="24"/>
          <w:highlight w:val="none"/>
        </w:rPr>
        <w:t xml:space="preserve">承担。</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1.11 知识产权</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1.13工程量清单错误的修正</w:t>
      </w:r>
      <w:r/>
    </w:p>
    <w:p>
      <w:pPr>
        <w:ind w:left="0" w:right="0" w:firstLine="480"/>
        <w:keepLines w:val="0"/>
        <w:keepNext w:val="0"/>
        <w:pageBreakBefore w:val="0"/>
        <w:spacing w:after="0" w:line="324" w:lineRule="auto"/>
        <w:widowControl/>
        <w:rPr>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除专用合同条款另有约定外，发包人提供的工程量清单，应被认为是准确的和完整的。出现下列情形之一时，发包人应予以修正，并相应调整合同价格：</w:t>
      </w:r>
      <w:r/>
    </w:p>
    <w:p>
      <w:pPr>
        <w:ind w:left="0" w:right="0" w:firstLine="480"/>
        <w:keepLines w:val="0"/>
        <w:keepNext w:val="0"/>
        <w:pageBreakBefore w:val="0"/>
        <w:spacing w:after="0" w:line="324" w:lineRule="auto"/>
        <w:widowControl/>
        <w:rPr>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（1）工程量清单存在缺项、漏项的；</w:t>
      </w:r>
      <w:r/>
    </w:p>
    <w:p>
      <w:pPr>
        <w:ind w:left="0" w:right="0" w:firstLine="480"/>
        <w:keepLines w:val="0"/>
        <w:keepNext w:val="0"/>
        <w:pageBreakBefore w:val="0"/>
        <w:spacing w:after="0" w:line="324" w:lineRule="auto"/>
        <w:widowControl/>
        <w:rPr>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（2）工程量清单偏差超出专用合同条款约定的工程量偏差范围的；</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（3）未按照国家现行计量规范强制性规定计量的。</w:t>
      </w:r>
      <w:r/>
    </w:p>
    <w:p>
      <w:pPr>
        <w:ind w:left="0" w:right="0" w:firstLine="482"/>
        <w:keepLines w:val="0"/>
        <w:keepNext w:val="0"/>
        <w:pageBreakBefore w:val="0"/>
        <w:spacing w:after="0" w:line="324" w:lineRule="auto"/>
        <w:widowControl/>
        <w:rPr>
          <w:rFonts w:hint="eastAsia" w:ascii="宋体" w:hAnsi="宋体" w:eastAsia="宋体" w:cs="宋体"/>
          <w:b/>
          <w:bCs/>
          <w:color w:val="auto"/>
          <w:sz w:val="24"/>
          <w:szCs w:val="24"/>
          <w:highlight w:val="none"/>
        </w:rPr>
        <w:outlineLvl w:val="9"/>
      </w:pPr>
      <w:r/>
      <w:bookmarkStart w:id="54" w:name="_Toc351203634"/>
      <w:r>
        <w:rPr>
          <w:rFonts w:hint="eastAsia" w:ascii="宋体" w:hAnsi="宋体" w:eastAsia="宋体" w:cs="宋体"/>
          <w:b/>
          <w:bCs/>
          <w:color w:val="auto"/>
          <w:sz w:val="24"/>
          <w:szCs w:val="24"/>
          <w:highlight w:val="none"/>
        </w:rPr>
        <w:t xml:space="preserve">2</w:t>
      </w:r>
      <w:bookmarkStart w:id="55" w:name="_Toc297048343"/>
      <w:r/>
      <w:bookmarkStart w:id="56" w:name="_Toc292559362"/>
      <w:r/>
      <w:bookmarkStart w:id="57" w:name="_Toc296891197"/>
      <w:r/>
      <w:bookmarkStart w:id="58" w:name="_Toc296347156"/>
      <w:r/>
      <w:bookmarkStart w:id="59" w:name="_Toc297120457"/>
      <w:r/>
      <w:bookmarkStart w:id="60" w:name="_Toc296890985"/>
      <w:r/>
      <w:bookmarkStart w:id="61" w:name="_Toc296944496"/>
      <w:r/>
      <w:bookmarkStart w:id="62" w:name="_Toc292559867"/>
      <w:r/>
      <w:bookmarkStart w:id="63" w:name="_Toc296503157"/>
      <w:r/>
      <w:bookmarkStart w:id="64" w:name="_Toc296346658"/>
      <w:r>
        <w:rPr>
          <w:rFonts w:hint="eastAsia" w:ascii="宋体" w:hAnsi="宋体" w:eastAsia="宋体" w:cs="宋体"/>
          <w:b/>
          <w:bCs/>
          <w:color w:val="auto"/>
          <w:sz w:val="24"/>
          <w:szCs w:val="24"/>
          <w:highlight w:val="none"/>
        </w:rPr>
        <w:t xml:space="preserve">.发包人</w:t>
      </w:r>
      <w:bookmarkEnd w:id="54"/>
      <w:r/>
      <w:bookmarkEnd w:id="55"/>
      <w:r/>
      <w:bookmarkEnd w:id="56"/>
      <w:r/>
      <w:bookmarkEnd w:id="57"/>
      <w:r/>
      <w:bookmarkEnd w:id="58"/>
      <w:r/>
      <w:bookmarkEnd w:id="59"/>
      <w:r/>
      <w:bookmarkEnd w:id="60"/>
      <w:r/>
      <w:bookmarkEnd w:id="61"/>
      <w:r/>
      <w:bookmarkEnd w:id="62"/>
      <w:r/>
      <w:bookmarkEnd w:id="63"/>
      <w:r/>
      <w:bookmarkEnd w:id="64"/>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发包人代表</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发包人代表：</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bCs/>
          <w:color w:val="auto"/>
          <w:sz w:val="24"/>
          <w:szCs w:val="24"/>
          <w:highlight w:val="none"/>
          <w:u w:val="single"/>
        </w:rPr>
        <w:outlineLvl w:val="9"/>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bCs/>
          <w:color w:val="auto"/>
          <w:sz w:val="24"/>
          <w:szCs w:val="24"/>
          <w:highlight w:val="none"/>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①检查和督促承包人和监理人执行合同；</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②检查和督促监理工程师行使职权；</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③协调施工现场各方面的关系；</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④协调工程质量、进度和安全文明等施工中出现的问题；</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⑤责令监理工程师查封、扣押施工现场发现不符合质量要求的建筑材料、建筑构配件和设备；</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⑥审核工程进度报表，参与审核工程进度款的支付；</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⑦监督和检查确认承包人主要施工管理人员施工现场在岗/出勤情况及监理人主要监理人员施工现场在岗/出勤情况；</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⑧对承包人、监理人提交文件的签证；</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⑨组织工程竣工验收；</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⑩发包人授权的其他事项。</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需要取得发包人批准才能行使的职权：</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(1)批准改变工程质量验收的标准；(2)批准延长工期； (3)批准涉及到对合同总价有影响的变更或指示；(4)批准工程索赔；(5)批准施工程序的重大变更；(6)批准重要部位的设计变更；(7)确定工程变更估价。</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2.4施工现场、施工条件和基础资料的提供</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2.4.1提供施工现场</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开工通知</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中载明的开工日期7天前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2.4.2提供施工条件</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图纸会审和设计交底时间： 开工前一周内完成 。 </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施工期间的周边关系及第三方干扰等由承包人负责协调，所需费用含在投标报价内。</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2.4.3 提供基础资料</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2.5资金来源证明及支付担保</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3. 承包人</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3.1 承包人的一般义务</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z w:val="24"/>
          <w:szCs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w:t>
      </w:r>
      <w:r>
        <w:rPr>
          <w:rFonts w:hint="eastAsia" w:ascii="宋体" w:hAnsi="宋体" w:cs="宋体"/>
          <w:color w:val="auto"/>
          <w:sz w:val="24"/>
          <w:szCs w:val="24"/>
          <w:highlight w:val="none"/>
          <w:u w:val="single"/>
          <w:lang w:val="en-US" w:eastAsia="zh-CN"/>
        </w:rPr>
        <w:t xml:space="preserve">壹</w:t>
      </w:r>
      <w:r>
        <w:rPr>
          <w:rFonts w:hint="eastAsia" w:ascii="宋体" w:hAnsi="宋体" w:eastAsia="宋体" w:cs="宋体"/>
          <w:color w:val="auto"/>
          <w:sz w:val="24"/>
          <w:szCs w:val="24"/>
          <w:highlight w:val="none"/>
          <w:u w:val="single"/>
        </w:rPr>
        <w:t xml:space="preserve">套</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工程竣工验收合格之日起28日内完成移交，若逾期提交，发包人有权暂停支付工程款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立卷、装订成册的纸质文档和电子文档</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承包人应履行的其他义务：</w:t>
      </w:r>
      <w:r>
        <w:rPr>
          <w:rFonts w:hint="eastAsia" w:ascii="宋体" w:hAnsi="宋体" w:eastAsia="宋体" w:cs="宋体"/>
          <w:color w:val="auto"/>
          <w:sz w:val="24"/>
          <w:szCs w:val="24"/>
          <w:highlight w:val="none"/>
          <w:u w:val="single"/>
        </w:rPr>
        <w:t xml:space="preserve">1）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2）承包人作为一名有经验的承包方，应预见施工中与其他专业施工单位发生的配合工作，并自主将相关配合费用综合考虑在投标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3）符合徐州市有关部门规定的标准化施工现场要求，同时应满足市政、市容等相关主管部门的有关规定。道路施工工地一律实行封闭施工、防尘网覆盖、定时洒水，控制扬尘污染等安全文明施工措施。不符合要求者， 承包人应承担 200-2000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4）承担施工安全保卫工作及非夜间施工照明的责任和要求：由承包人按建设行政管理部门和相关部门的要求自行承担，并设置明显警示标志和专职人员维护公共安全。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5）向发包人提供的办公和生活房屋及设施的要求：发包人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监理人</w:t>
      </w:r>
      <w:r>
        <w:rPr>
          <w:rFonts w:hint="eastAsia" w:ascii="宋体" w:hAnsi="宋体" w:eastAsia="宋体" w:cs="宋体"/>
          <w:color w:val="auto"/>
          <w:sz w:val="24"/>
          <w:szCs w:val="24"/>
          <w:highlight w:val="none"/>
          <w:u w:val="single"/>
        </w:rPr>
        <w:t xml:space="preserve">驻施工现场管理人员必要的办公用房及设施由承包人负责免费提供。</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7）承包人综合考虑本项目全线封闭施工，且考虑可能存在的半幅道路施工，因此可能增加的费用综合考虑在投标报价内，结算时不再增加于此相关的费用。</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8）已完工程成品保护的特殊要求及费用承担：由承包人负责承担。</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9）施工场地清洁卫生和要求：应按建设行政主管部门和相关部门的规定办理，所需费用由承包人负担。</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10）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12）承包人必须对工程现场施工人员全部实行实名制考勤管理，签订劳动合同，设立工资存储专户，按照工程进度和工人实名制登记信息，按月足额由银行代发工资。</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13）承包人应按发包人的指令，完成发包人要求的对工程内容的任何增加和删减；费用按相关条款执行。</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15）承包人投标前自行踏勘现场，充分了解现</w:t>
      </w:r>
      <w:r>
        <w:rPr>
          <w:rFonts w:hint="eastAsia" w:ascii="宋体" w:hAnsi="宋体" w:cs="宋体"/>
          <w:color w:val="auto"/>
          <w:sz w:val="24"/>
          <w:szCs w:val="24"/>
          <w:highlight w:val="none"/>
          <w:u w:val="single"/>
          <w:lang w:val="en-US" w:eastAsia="zh-CN"/>
        </w:rPr>
        <w:t xml:space="preserve">场</w:t>
      </w:r>
      <w:r>
        <w:rPr>
          <w:rFonts w:hint="eastAsia" w:ascii="宋体" w:hAnsi="宋体" w:eastAsia="宋体" w:cs="宋体"/>
          <w:color w:val="auto"/>
          <w:sz w:val="24"/>
          <w:szCs w:val="24"/>
          <w:highlight w:val="none"/>
          <w:u w:val="single"/>
        </w:rPr>
        <w:t xml:space="preserve">实际情况，根据现</w:t>
      </w:r>
      <w:r>
        <w:rPr>
          <w:rFonts w:hint="eastAsia" w:ascii="宋体" w:hAnsi="宋体" w:cs="宋体"/>
          <w:color w:val="auto"/>
          <w:sz w:val="24"/>
          <w:szCs w:val="24"/>
          <w:highlight w:val="none"/>
          <w:u w:val="single"/>
          <w:lang w:val="en-US" w:eastAsia="zh-CN"/>
        </w:rPr>
        <w:t xml:space="preserve">场</w:t>
      </w:r>
      <w:r>
        <w:rPr>
          <w:rFonts w:hint="eastAsia" w:ascii="宋体" w:hAnsi="宋体" w:eastAsia="宋体" w:cs="宋体"/>
          <w:color w:val="auto"/>
          <w:sz w:val="24"/>
          <w:szCs w:val="24"/>
          <w:highlight w:val="none"/>
          <w:u w:val="single"/>
        </w:rPr>
        <w:t xml:space="preserve">实际情况展开施工，不得以现场场区不满足施工布局、已完施工的建筑物存在施工缺陷等问题拒绝施工或要求增加费用。 </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16）检测机构检测费用不单独列项，</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应综合考虑在企业管理费中，结算时不再调整。招标人如需增加抽检，检测合格费用由招标人支付；检测不合格，视为</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违约，检测费、整改至合格的费用由</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支付，且需要支付相关分项工程5%的违约金。</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3.2项目经理</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3.2.1项目经理：</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承包人对项目经理的授权范围如下：</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1.领导、决策，调集企业所属各单位、各部门为项目进行全面服务和控制。</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3.负责组织编制与审批工程总体进度计划及其修订与调整；</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4.负责组织编制与审批质量保证计划及其修订与调整；</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5.负责组织编制与审批主要物资供应与采购计划及其修订与调整；</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6.负责组织编制与审批工程分包计划及其修订与调整；</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7.组织工程成本的分析、预测及控制，对项目资金管理与财务运作负责；</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9.负责组织人力资源调配、内部和外部关系协调；遵照合同约定及施工组织设计中的内容实施于工程，当超出实施范围应向上级决策机构申报</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 注册建造师为本单位人员，且资格审查合格后不再更换。中标后，项目经理必须在现场组织施工，每周至少在现场 5 日，每日不少于 8 小时，切实发挥作用，未经</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书面同意，不得离开现场，否则按次处罚，2000 元/次，累计 5 次发包人有权单方面终止合同，并由承包人承担一切相应后果 。施工组织设计中现场管理机构的其它人员必须按期到位，否则应向发包人支付违约金1000元/日·人</w:t>
      </w:r>
      <w:r>
        <w:rPr>
          <w:rFonts w:hint="eastAsia" w:ascii="宋体" w:hAnsi="宋体" w:eastAsia="宋体" w:cs="宋体"/>
          <w:color w:val="auto"/>
          <w:sz w:val="24"/>
          <w:szCs w:val="24"/>
          <w:highlight w:val="none"/>
          <w:u w:val="single"/>
          <w:lang w:eastAsia="zh-CN"/>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承包人承担叁万元的违约金，责令限期提交劳动合同并补缴社会保险</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每查实一次向发包人支付违约金2000元，费用从当期应付工程款中直接扣除。如有特殊情况离开现场，应提前报请监理人、发包人同意 ；施工组织设计中现场管理机构的其它人员必须按期到位，否则应向发包人支付违约金1000元/日·人</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承包人擅自更换项目经理的违约责任：</w:t>
      </w:r>
      <w:r>
        <w:rPr>
          <w:rFonts w:hint="eastAsia" w:ascii="宋体" w:hAnsi="宋体" w:eastAsia="宋体" w:cs="宋体"/>
          <w:color w:val="auto"/>
          <w:sz w:val="24"/>
          <w:szCs w:val="24"/>
          <w:highlight w:val="none"/>
          <w:u w:val="single"/>
        </w:rPr>
        <w:t xml:space="preserve">本项目在建设过程中不得擅自更换项目负责人（注册建造师）、技术负责人和项目组人员，发包人有权要求承包人承担壹拾万元的违约金，并有权解除合同并责令承包人退场，由此产生的一切损失及后果由承包人承担。如需更换则需</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、监理方、建设主管部门同时认可、办理相应手续后方可更换</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承包人无正当理由拒绝更换项目经理的违约责任：</w:t>
      </w:r>
      <w:r>
        <w:rPr>
          <w:rFonts w:hint="eastAsia" w:ascii="宋体" w:hAnsi="宋体" w:eastAsia="宋体" w:cs="宋体"/>
          <w:color w:val="auto"/>
          <w:sz w:val="24"/>
          <w:szCs w:val="24"/>
          <w:highlight w:val="none"/>
          <w:u w:val="single"/>
        </w:rPr>
        <w:t xml:space="preserve">发包人有权要求承包人承担壹拾万元的违约金，并有权解除合同并责令承包人退场，由此产生的一切损失及后果由承包人承担。</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3.3承包人人员</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3.3.1承包人提交项目管理机构及施工现场管理人员安排报告的期限：</w:t>
      </w:r>
      <w:r>
        <w:rPr>
          <w:rFonts w:hint="eastAsia" w:ascii="宋体" w:hAnsi="宋体" w:eastAsia="宋体" w:cs="宋体"/>
          <w:color w:val="auto"/>
          <w:sz w:val="24"/>
          <w:szCs w:val="24"/>
          <w:highlight w:val="none"/>
          <w:u w:val="single"/>
        </w:rPr>
        <w:t xml:space="preserve">合同签订后7天内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承包人无正当理由拒绝撤换主要施工管理人员的违约责任</w:t>
      </w:r>
      <w:r>
        <w:rPr>
          <w:rFonts w:hint="eastAsia" w:ascii="宋体" w:hAnsi="宋体" w:eastAsia="宋体" w:cs="宋体"/>
          <w:color w:val="auto"/>
          <w:sz w:val="24"/>
          <w:szCs w:val="24"/>
          <w:highlight w:val="none"/>
          <w:u w:val="single"/>
        </w:rPr>
        <w:t xml:space="preserve">：发包人有权要求承包人承担叁万元的违约金，并有权解除合同并责令承包人退场，由此产生的一切损失及后果由承包人承担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承包人主要施工管理人员离开施工现场的批准要求：</w:t>
      </w:r>
      <w:r>
        <w:rPr>
          <w:rFonts w:hint="eastAsia" w:ascii="宋体" w:hAnsi="宋体" w:eastAsia="宋体" w:cs="宋体"/>
          <w:color w:val="auto"/>
          <w:sz w:val="24"/>
          <w:szCs w:val="24"/>
          <w:highlight w:val="none"/>
          <w:u w:val="single"/>
        </w:rPr>
        <w:t xml:space="preserve">由总监理工程师批准，发包人认可后方可离开</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承包人擅自更换主要施工管理人员的违约责任：</w:t>
      </w:r>
      <w:r>
        <w:rPr>
          <w:rFonts w:hint="eastAsia" w:ascii="宋体" w:hAnsi="宋体" w:eastAsia="宋体" w:cs="宋体"/>
          <w:color w:val="auto"/>
          <w:sz w:val="24"/>
          <w:szCs w:val="24"/>
          <w:highlight w:val="none"/>
          <w:u w:val="single"/>
        </w:rPr>
        <w:t xml:space="preserve">发包人有权要求承包人承担壹万元的违约金，并有权解除合同并责令承包人退场，由此产生的一切损失及后果由承包人承担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承包人承担壹万元/次的违约金，承包人承担及因上述违约给发包人造成的全部损失</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bookmarkStart w:id="65" w:name="_Toc303539102"/>
      <w:r/>
      <w:bookmarkStart w:id="66" w:name="_Toc304295523"/>
      <w:r/>
      <w:bookmarkStart w:id="67" w:name="_Toc296347158"/>
      <w:r/>
      <w:bookmarkStart w:id="68" w:name="_Toc296891199"/>
      <w:r/>
      <w:bookmarkStart w:id="69" w:name="_Toc292559869"/>
      <w:r/>
      <w:bookmarkStart w:id="70" w:name="_Toc297123492"/>
      <w:r/>
      <w:bookmarkStart w:id="71" w:name="_Toc297120459"/>
      <w:r/>
      <w:bookmarkStart w:id="72" w:name="_Toc296346660"/>
      <w:r/>
      <w:bookmarkStart w:id="73" w:name="_Toc292559364"/>
      <w:r/>
      <w:bookmarkStart w:id="74" w:name="_Toc297216151"/>
      <w:r/>
      <w:bookmarkStart w:id="75" w:name="_Toc297048345"/>
      <w:r/>
      <w:bookmarkStart w:id="76" w:name="_Toc296944498"/>
      <w:r/>
      <w:bookmarkStart w:id="77" w:name="_Toc312677988"/>
      <w:r/>
      <w:bookmarkStart w:id="78" w:name="_Toc296890987"/>
      <w:r/>
      <w:bookmarkStart w:id="79" w:name="_Toc296503159"/>
      <w:r/>
      <w:bookmarkStart w:id="80" w:name="_Toc300934945"/>
      <w:r>
        <w:rPr>
          <w:rFonts w:hint="eastAsia" w:ascii="宋体" w:hAnsi="宋体" w:eastAsia="宋体" w:cs="宋体"/>
          <w:color w:val="auto"/>
          <w:sz w:val="24"/>
          <w:szCs w:val="24"/>
          <w:highlight w:val="none"/>
        </w:rPr>
        <w:t xml:space="preserve">.5分包</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bookmarkStart w:id="81" w:name="_Toc296346661"/>
      <w:r/>
      <w:bookmarkStart w:id="82" w:name="_Toc296944499"/>
      <w:r/>
      <w:bookmarkStart w:id="83" w:name="_Toc300934946"/>
      <w:r/>
      <w:bookmarkStart w:id="84" w:name="_Toc292559870"/>
      <w:r/>
      <w:bookmarkStart w:id="85" w:name="_Toc297216152"/>
      <w:r/>
      <w:bookmarkStart w:id="86" w:name="_Toc296503160"/>
      <w:r/>
      <w:bookmarkStart w:id="87" w:name="_Toc297120460"/>
      <w:r/>
      <w:bookmarkStart w:id="88" w:name="_Toc297048346"/>
      <w:r/>
      <w:bookmarkStart w:id="89" w:name="_Toc303539103"/>
      <w:r/>
      <w:bookmarkStart w:id="90" w:name="_Toc296347159"/>
      <w:r/>
      <w:bookmarkStart w:id="91" w:name="_Toc304295524"/>
      <w:r/>
      <w:bookmarkStart w:id="92" w:name="_Toc296890988"/>
      <w:r/>
      <w:bookmarkStart w:id="93" w:name="_Toc296891200"/>
      <w:r/>
      <w:bookmarkStart w:id="94" w:name="_Toc297123493"/>
      <w:r/>
      <w:bookmarkStart w:id="95" w:name="_Toc292559365"/>
      <w:r/>
      <w:bookmarkStart w:id="96" w:name="_Toc318581158"/>
      <w:r/>
      <w:bookmarkStart w:id="97" w:name="_Toc312677989"/>
      <w:r>
        <w:rPr>
          <w:rFonts w:hint="eastAsia" w:ascii="宋体" w:hAnsi="宋体" w:eastAsia="宋体" w:cs="宋体"/>
          <w:color w:val="auto"/>
          <w:sz w:val="24"/>
          <w:szCs w:val="24"/>
          <w:highlight w:val="none"/>
        </w:rPr>
        <w:t xml:space="preserve">.5.1分包的一般约定</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本工程禁止违法分包</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主体结构、关键性工作的范围：</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宋体" w:hAnsi="宋体" w:eastAsia="宋体" w:cs="宋体"/>
          <w:color w:val="auto"/>
          <w:sz w:val="24"/>
          <w:szCs w:val="24"/>
          <w:highlight w:val="none"/>
          <w:u w:val="single"/>
        </w:rPr>
        <w:t xml:space="preserve">执行国家相关法律、法规规定</w:t>
      </w:r>
      <w:r>
        <w:rPr>
          <w:rFonts w:hint="eastAsia" w:ascii="宋体" w:hAnsi="宋体" w:eastAsia="宋体" w:cs="宋体"/>
          <w:color w:val="auto"/>
          <w:sz w:val="24"/>
          <w:szCs w:val="24"/>
          <w:highlight w:val="none"/>
        </w:rPr>
        <w:t xml:space="preserve">。</w:t>
      </w:r>
      <w:bookmarkEnd w:id="96"/>
      <w:r/>
      <w:bookmarkEnd w:id="97"/>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bookmarkStart w:id="98" w:name="_Toc318581159"/>
      <w:r/>
      <w:bookmarkStart w:id="99" w:name="_Toc312677990"/>
      <w:r>
        <w:rPr>
          <w:rFonts w:hint="eastAsia" w:ascii="宋体" w:hAnsi="宋体" w:eastAsia="宋体" w:cs="宋体"/>
          <w:color w:val="auto"/>
          <w:sz w:val="24"/>
          <w:szCs w:val="24"/>
          <w:highlight w:val="none"/>
        </w:rPr>
        <w:t xml:space="preserve">.5.2分包的确定</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执行国家相关法律、法规规定</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除通用合同条款的约定外，分包还应遵循以下约定：</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(2)承包人应保障分包工作不得再次分包。</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分包合同价款</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bookmarkEnd w:id="98"/>
      <w:r/>
      <w:bookmarkEnd w:id="99"/>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3.6工程照管与成品、半成品保护</w:t>
      </w:r>
      <w:r/>
    </w:p>
    <w:p>
      <w:pPr>
        <w:ind w:left="0" w:right="0" w:firstLine="480"/>
        <w:jc w:val="left"/>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outlineLvl w:val="9"/>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b w:val="0"/>
          <w:bCs/>
          <w:color w:val="auto"/>
          <w:sz w:val="24"/>
          <w:szCs w:val="24"/>
          <w:highlight w:val="none"/>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3.7履约担保</w:t>
      </w:r>
      <w:r/>
    </w:p>
    <w:p>
      <w:pPr>
        <w:ind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承包人提供履约担保的形式、金额及期限：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履约保证金的返还</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single"/>
          <w:lang w:val="en-US" w:eastAsia="zh-CN"/>
        </w:rPr>
        <w:t xml:space="preserve"> / 。</w:t>
      </w:r>
      <w:r/>
    </w:p>
    <w:p>
      <w:pPr>
        <w:ind w:left="0" w:right="0" w:firstLine="482"/>
        <w:jc w:val="both"/>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100" w:name="_Toc351203636"/>
      <w:r>
        <w:rPr>
          <w:rFonts w:hint="eastAsia" w:ascii="宋体" w:hAnsi="宋体" w:eastAsia="宋体" w:cs="宋体"/>
          <w:b/>
          <w:bCs/>
          <w:color w:val="auto"/>
          <w:sz w:val="24"/>
          <w:szCs w:val="24"/>
          <w:highlight w:val="none"/>
        </w:rPr>
        <w:t xml:space="preserve">4</w:t>
      </w:r>
      <w:bookmarkStart w:id="101" w:name="_Toc297048348"/>
      <w:r/>
      <w:bookmarkStart w:id="102" w:name="_Toc296890990"/>
      <w:r/>
      <w:bookmarkStart w:id="103" w:name="_Toc296503162"/>
      <w:r/>
      <w:bookmarkStart w:id="104" w:name="_Toc296944501"/>
      <w:r/>
      <w:bookmarkStart w:id="105" w:name="_Toc292559366"/>
      <w:r/>
      <w:bookmarkStart w:id="106" w:name="_Toc297120462"/>
      <w:r/>
      <w:bookmarkStart w:id="107" w:name="_Toc296891202"/>
      <w:r/>
      <w:bookmarkStart w:id="108" w:name="_Toc296346663"/>
      <w:r/>
      <w:bookmarkStart w:id="109" w:name="_Toc267251413"/>
      <w:r/>
      <w:bookmarkStart w:id="110" w:name="_Toc296347161"/>
      <w:r/>
      <w:bookmarkStart w:id="111" w:name="_Toc292559871"/>
      <w:r>
        <w:rPr>
          <w:rFonts w:hint="eastAsia" w:ascii="宋体" w:hAnsi="宋体" w:eastAsia="宋体" w:cs="宋体"/>
          <w:b/>
          <w:bCs/>
          <w:color w:val="auto"/>
          <w:sz w:val="24"/>
          <w:szCs w:val="24"/>
          <w:highlight w:val="none"/>
        </w:rPr>
        <w:t xml:space="preserve">.监</w:t>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b/>
          <w:bCs/>
          <w:color w:val="auto"/>
          <w:sz w:val="24"/>
          <w:szCs w:val="24"/>
          <w:highlight w:val="none"/>
        </w:rPr>
        <w:t xml:space="preserve">理人</w:t>
      </w:r>
      <w:bookmarkEnd w:id="100"/>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4.1监理人的一般规定</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4.2监理人员</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总监理工程师：</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总监理工程师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详见本工程监理合同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商定或确定</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numPr>
          <w:ilvl w:val="0"/>
          <w:numId w:val="4"/>
        </w:num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总监理工程师在对合同内涉及费用变化的任何事项进行商定或确定时，必须取得发包人的书面确认，否则无效</w:t>
      </w:r>
      <w:r>
        <w:rPr>
          <w:rFonts w:hint="eastAsia" w:ascii="宋体" w:hAnsi="宋体" w:cs="宋体"/>
          <w:color w:val="auto"/>
          <w:sz w:val="24"/>
          <w:szCs w:val="24"/>
          <w:highlight w:val="none"/>
          <w:u w:val="single"/>
          <w:lang w:eastAsia="zh-CN"/>
        </w:rPr>
        <w:t xml:space="preserve">。</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112" w:name="_Toc351203637"/>
      <w:r>
        <w:rPr>
          <w:rFonts w:hint="eastAsia" w:ascii="宋体" w:hAnsi="宋体" w:eastAsia="宋体" w:cs="宋体"/>
          <w:b/>
          <w:bCs/>
          <w:color w:val="auto"/>
          <w:sz w:val="24"/>
          <w:szCs w:val="24"/>
          <w:highlight w:val="none"/>
        </w:rPr>
        <w:t xml:space="preserve">5.工程质量</w:t>
      </w:r>
      <w:bookmarkEnd w:id="112"/>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5.1质量要求</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5.1.1特殊质量标准和要求：</w:t>
      </w:r>
      <w:r>
        <w:rPr>
          <w:rFonts w:hint="eastAsia" w:ascii="宋体" w:hAnsi="宋体" w:eastAsia="宋体" w:cs="宋体"/>
          <w:bCs/>
          <w:color w:val="auto"/>
          <w:sz w:val="24"/>
          <w:szCs w:val="24"/>
          <w:highlight w:val="none"/>
          <w:u w:val="singl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1264"/>
        <w:ind w:left="0" w:right="0" w:firstLine="480"/>
        <w:keepLines w:val="0"/>
        <w:keepNext w:val="0"/>
        <w:pageBreakBefore w:val="0"/>
        <w:spacing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①承包人必须按发包人批准的施工组织设计、分项工程及关键部位的专项施工方案施工，现场放线后，须经监理、发包人专业工程师复核后才能施工，严把工序报验关。</w:t>
      </w:r>
      <w:r/>
    </w:p>
    <w:p>
      <w:pPr>
        <w:pStyle w:val="1264"/>
        <w:ind w:left="0" w:right="0" w:firstLine="480"/>
        <w:keepLines w:val="0"/>
        <w:keepNext w:val="0"/>
        <w:pageBreakBefore w:val="0"/>
        <w:spacing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②现场钢筋成形场地必须硬化，避免钢筋污染。</w:t>
      </w:r>
      <w:r/>
    </w:p>
    <w:p>
      <w:pPr>
        <w:pStyle w:val="1012"/>
        <w:ind w:left="0" w:right="0" w:firstLine="480"/>
        <w:keepLines w:val="0"/>
        <w:keepNext w:val="0"/>
        <w:pageBreakBefore w:val="0"/>
        <w:spacing w:after="0" w:line="324"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u w:val="single"/>
        </w:rPr>
        <w:t xml:space="preserve">③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rPr>
          <w:rFonts w:hint="eastAsia" w:ascii="宋体" w:hAnsi="宋体" w:eastAsia="宋体" w:cs="宋体"/>
          <w:color w:val="auto"/>
          <w:sz w:val="24"/>
          <w:szCs w:val="24"/>
          <w:highlight w:val="none"/>
          <w:u w:val="single"/>
          <w:lang w:eastAsia="zh-CN"/>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按相关文件执行</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隐蔽工程检查</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隐蔽工程覆盖前的检查：未经监理工程师、</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代表批准，工程的任何部位都不能覆盖，当任何部分的隐蔽工程或基础已经具备检验条件时，承包人应及时通知监理工程师、承包人代表。监理工程师、</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代表在接到承包人通知 24 小时后没有批复，承包人可以覆盖这部分工程或基础。</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剥露和开口：承包人应按监理工程师、发包人代表随时发出的指示，对工程的任何部分剥露或开口，并负责这部分工程恢复原样，若这部分工程已按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承包人提前通知监理人隐蔽工程检查的期限的约定：</w:t>
      </w:r>
      <w:r>
        <w:rPr>
          <w:rFonts w:hint="eastAsia" w:ascii="宋体" w:hAnsi="宋体" w:eastAsia="宋体" w:cs="宋体"/>
          <w:color w:val="auto"/>
          <w:sz w:val="24"/>
          <w:szCs w:val="24"/>
          <w:highlight w:val="none"/>
          <w:u w:val="single"/>
        </w:rPr>
        <w:t xml:space="preserve">共同检查前48小时书面通知监理人</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小时提交书面延期要求。</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6. 安全文明施工与环境保护</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6.1安全文明施工</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6.1.1项目安全生产的达标目标及相应事项的约定：</w:t>
      </w:r>
      <w:r>
        <w:rPr>
          <w:rFonts w:hint="eastAsia" w:ascii="宋体" w:hAnsi="宋体" w:eastAsia="宋体" w:cs="宋体"/>
          <w:color w:val="auto"/>
          <w:sz w:val="24"/>
          <w:szCs w:val="24"/>
          <w:highlight w:val="none"/>
          <w:u w:val="single"/>
        </w:rPr>
        <w:t xml:space="preserve">①在本合同实施过程中，承包人应对现场施工人员及现场其他第三人的安全、现场施工秩序、工程保护、环境保护、消防、用电安全等负责，并就工地照明、防护标志和警示信号设置、门卫</w:t>
      </w:r>
      <w:r>
        <w:rPr>
          <w:rFonts w:hint="eastAsia" w:ascii="宋体" w:hAnsi="宋体" w:eastAsia="宋体" w:cs="宋体"/>
          <w:color w:val="auto"/>
          <w:sz w:val="24"/>
          <w:szCs w:val="24"/>
          <w:highlight w:val="none"/>
          <w:u w:val="single"/>
        </w:rPr>
        <w:t xml:space="preserve">人员配置等作出具体安排，充分考虑施工的特殊性，确保安全生产无事故，并承担相关的责任和损失。②施工过程中的排污、环卫、市容、城建、城管、治安、人口管理等相关手续由承包人按规定负责办理，对临近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价）内。</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扬尘治理按徐建价2018年1号文执行，2号文计取。承包人须按规范要求做好扬尘污染防治措施，全部费用均包含在内；</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开工通知载明的开工日期 20 天前提交安全技术措施或专项施工方案、安全生产责任制度、治安保卫制度及安全生产教育培训制度；开工通知载明的开工日期 20 天前提交安全技术措施或专项施工方案、安全生产责任制度、治安保卫制度及安全生产教育培训制度；</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6.1.4关于治安保卫的特别约定：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承包人编制，开工前5日内报监理。</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6.1.5文明施工</w:t>
      </w:r>
      <w:r/>
    </w:p>
    <w:p>
      <w:pPr>
        <w:pStyle w:val="995"/>
        <w:ind w:firstLine="440"/>
        <w:keepLines w:val="0"/>
        <w:keepNext w:val="0"/>
        <w:pageBreakBefore w:val="0"/>
        <w:spacing w:after="200" w:line="324" w:lineRule="auto"/>
        <w:rPr>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Arial" w:hAnsi="Arial" w:eastAsia="Arial"/>
          <w:color w:val="auto"/>
          <w:sz w:val="24"/>
          <w:szCs w:val="24"/>
          <w:highlight w:val="none"/>
        </w:rPr>
        <w:t xml:space="preserve">合同当事人对文明施工的要求：</w:t>
      </w:r>
      <w:r>
        <w:rPr>
          <w:rFonts w:ascii="Arial" w:hAnsi="Arial" w:eastAsia="Arial"/>
          <w:color w:val="auto"/>
          <w:sz w:val="24"/>
          <w:szCs w:val="24"/>
          <w:highlight w:val="none"/>
          <w:u w:val="single"/>
        </w:rPr>
        <w:t xml:space="preserve">符合徐州市有关部门规定的标准化施工现场要求，同时应满足市政、市容等相关主管部门的有关规定</w:t>
      </w:r>
      <w:r>
        <w:rPr>
          <w:rFonts w:ascii="Arial" w:hAnsi="Arial" w:eastAsia="Arial"/>
          <w:color w:val="auto"/>
          <w:sz w:val="24"/>
          <w:szCs w:val="24"/>
          <w:highlight w:val="none"/>
        </w:rPr>
        <w:t xml:space="preserve">。</w:t>
      </w:r>
      <w:r/>
    </w:p>
    <w:p>
      <w:pPr>
        <w:pStyle w:val="995"/>
        <w:ind w:firstLine="440"/>
        <w:keepLines w:val="0"/>
        <w:keepNext w:val="0"/>
        <w:pageBreakBefore w:val="0"/>
        <w:spacing w:after="200" w:line="324" w:lineRule="auto"/>
        <w:rPr>
          <w:b w:val="0"/>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Arial" w:hAnsi="Arial" w:eastAsia="Arial"/>
          <w:b w:val="0"/>
          <w:bCs/>
          <w:color w:val="auto"/>
          <w:sz w:val="24"/>
          <w:szCs w:val="24"/>
          <w:highlight w:val="none"/>
          <w:u w:val="single"/>
        </w:rPr>
        <w:t xml:space="preserve">①承包人按当地有关主管部门的规定办理相关手续，并承担相应费用，同时以书面形式通知发包人，承担施工过程中因自身原因造成的罚款</w:t>
      </w:r>
      <w:r>
        <w:rPr>
          <w:rFonts w:ascii="Arial" w:hAnsi="Arial" w:eastAsia="Arial"/>
          <w:b w:val="0"/>
          <w:bCs/>
          <w:color w:val="auto"/>
          <w:sz w:val="24"/>
          <w:szCs w:val="24"/>
          <w:highlight w:val="none"/>
        </w:rPr>
        <w:t xml:space="preserve">。</w:t>
      </w:r>
      <w:r/>
    </w:p>
    <w:p>
      <w:pPr>
        <w:pStyle w:val="995"/>
        <w:ind w:firstLine="440"/>
        <w:keepLines w:val="0"/>
        <w:keepNext w:val="0"/>
        <w:pageBreakBefore w:val="0"/>
        <w:spacing w:after="200" w:line="324" w:lineRule="auto"/>
        <w:rPr>
          <w:b w:val="0"/>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Arial" w:hAnsi="Arial" w:eastAsia="Arial"/>
          <w:b w:val="0"/>
          <w:bCs/>
          <w:color w:val="auto"/>
          <w:sz w:val="24"/>
          <w:szCs w:val="24"/>
          <w:highlight w:val="none"/>
          <w:u w:val="single"/>
        </w:rPr>
        <w:t xml:space="preserve">②承包人应遵守环境保护、和清洁卫生方面的法律、法规、规定以及发包人《建设工程安全文明施工管理办法》的规定，所发生的费用由承包人承担</w:t>
      </w:r>
      <w:r>
        <w:rPr>
          <w:rFonts w:ascii="Arial" w:hAnsi="Arial" w:eastAsia="Arial"/>
          <w:b w:val="0"/>
          <w:bCs/>
          <w:color w:val="auto"/>
          <w:sz w:val="24"/>
          <w:szCs w:val="24"/>
          <w:highlight w:val="none"/>
        </w:rPr>
        <w:t xml:space="preserve">。</w:t>
      </w:r>
      <w:r/>
    </w:p>
    <w:p>
      <w:pPr>
        <w:pStyle w:val="995"/>
        <w:ind w:firstLine="440"/>
        <w:keepLines w:val="0"/>
        <w:keepNext w:val="0"/>
        <w:pageBreakBefore w:val="0"/>
        <w:spacing w:after="200" w:line="324" w:lineRule="auto"/>
        <w:rPr>
          <w:b w:val="0"/>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Arial" w:hAnsi="Arial" w:eastAsia="Arial"/>
          <w:b w:val="0"/>
          <w:bCs/>
          <w:color w:val="auto"/>
          <w:sz w:val="24"/>
          <w:szCs w:val="24"/>
          <w:highlight w:val="none"/>
          <w:u w:val="single"/>
        </w:rPr>
        <w:t xml:space="preserve">③承包人对施工现场的各种粉尘、废水、废气、固体废物和振动、噪声等采取必要的控制措施，及时进行处理并承担相关费用</w:t>
      </w:r>
      <w:r>
        <w:rPr>
          <w:rFonts w:ascii="Arial" w:hAnsi="Arial" w:eastAsia="Arial"/>
          <w:b w:val="0"/>
          <w:bCs/>
          <w:color w:val="auto"/>
          <w:sz w:val="24"/>
          <w:szCs w:val="24"/>
          <w:highlight w:val="none"/>
        </w:rPr>
        <w:t xml:space="preserve">。</w:t>
      </w:r>
      <w:r/>
    </w:p>
    <w:p>
      <w:pPr>
        <w:pStyle w:val="995"/>
        <w:ind w:firstLine="440"/>
        <w:keepLines w:val="0"/>
        <w:keepNext w:val="0"/>
        <w:pageBreakBefore w:val="0"/>
        <w:spacing w:after="200" w:line="324" w:lineRule="auto"/>
        <w:rPr>
          <w:b w:val="0"/>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Arial" w:hAnsi="Arial" w:eastAsia="Arial"/>
          <w:b w:val="0"/>
          <w:bCs/>
          <w:color w:val="auto"/>
          <w:sz w:val="24"/>
          <w:szCs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w:t>
      </w:r>
      <w:r>
        <w:rPr>
          <w:rFonts w:ascii="宋体" w:hAnsi="宋体"/>
          <w:b w:val="0"/>
          <w:bCs/>
          <w:color w:val="auto"/>
          <w:sz w:val="24"/>
          <w:szCs w:val="24"/>
          <w:highlight w:val="none"/>
          <w:u w:val="single"/>
        </w:rPr>
        <w:t xml:space="preserve">除</w:t>
      </w:r>
      <w:r>
        <w:rPr>
          <w:rFonts w:ascii="Arial" w:hAnsi="Arial" w:eastAsia="Arial"/>
          <w:b w:val="0"/>
          <w:bCs/>
          <w:color w:val="auto"/>
          <w:sz w:val="24"/>
          <w:szCs w:val="24"/>
          <w:highlight w:val="none"/>
        </w:rPr>
        <w:t xml:space="preserve">。</w:t>
      </w:r>
      <w:r/>
    </w:p>
    <w:p>
      <w:pPr>
        <w:pStyle w:val="995"/>
        <w:ind w:firstLine="440"/>
        <w:keepLines w:val="0"/>
        <w:keepNext w:val="0"/>
        <w:pageBreakBefore w:val="0"/>
        <w:spacing w:after="200" w:line="324" w:lineRule="auto"/>
        <w:rPr>
          <w:b w:val="0"/>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Arial" w:hAnsi="Arial" w:eastAsia="Arial"/>
          <w:b w:val="0"/>
          <w:bCs/>
          <w:color w:val="auto"/>
          <w:sz w:val="24"/>
          <w:szCs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w:t>
      </w:r>
      <w:r>
        <w:rPr>
          <w:rFonts w:ascii="宋体" w:hAnsi="宋体"/>
          <w:b w:val="0"/>
          <w:bCs/>
          <w:color w:val="auto"/>
          <w:sz w:val="24"/>
          <w:szCs w:val="24"/>
          <w:highlight w:val="none"/>
          <w:u w:val="single"/>
        </w:rPr>
        <w:t xml:space="preserve">除</w:t>
      </w:r>
      <w:r>
        <w:rPr>
          <w:rFonts w:ascii="Arial" w:hAnsi="Arial" w:eastAsia="Arial"/>
          <w:b w:val="0"/>
          <w:bCs/>
          <w:color w:val="auto"/>
          <w:sz w:val="24"/>
          <w:szCs w:val="24"/>
          <w:highlight w:val="none"/>
        </w:rPr>
        <w:t xml:space="preserve">。</w:t>
      </w:r>
      <w:r/>
    </w:p>
    <w:p>
      <w:pPr>
        <w:pStyle w:val="995"/>
        <w:ind w:firstLine="440"/>
        <w:keepLines w:val="0"/>
        <w:keepNext w:val="0"/>
        <w:pageBreakBefore w:val="0"/>
        <w:spacing w:after="200" w:line="324" w:lineRule="auto"/>
        <w:rPr>
          <w:b w:val="0"/>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Arial" w:hAnsi="Arial" w:eastAsia="Arial"/>
          <w:b w:val="0"/>
          <w:bCs/>
          <w:color w:val="auto"/>
          <w:sz w:val="24"/>
          <w:szCs w:val="24"/>
          <w:highlight w:val="none"/>
          <w:u w:val="single"/>
        </w:rPr>
        <w:t xml:space="preserve">⑥现场施工及管理人员均需挂牌进场，否则，发包人有权对承包人处以 50元∕人·次的违约金</w:t>
      </w:r>
      <w:r>
        <w:rPr>
          <w:rFonts w:ascii="Arial" w:hAnsi="Arial" w:eastAsia="Arial"/>
          <w:b w:val="0"/>
          <w:bCs/>
          <w:color w:val="auto"/>
          <w:sz w:val="24"/>
          <w:szCs w:val="24"/>
          <w:highlight w:val="none"/>
        </w:rPr>
        <w:t xml:space="preserve">。</w:t>
      </w:r>
      <w:r/>
    </w:p>
    <w:p>
      <w:pPr>
        <w:pStyle w:val="995"/>
        <w:ind w:firstLine="440"/>
        <w:keepLines w:val="0"/>
        <w:keepNext w:val="0"/>
        <w:pageBreakBefore w:val="0"/>
        <w:spacing w:after="200" w:line="324" w:lineRule="auto"/>
        <w:rPr>
          <w:b w:val="0"/>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Arial" w:hAnsi="Arial" w:eastAsia="Arial"/>
          <w:b w:val="0"/>
          <w:bCs/>
          <w:color w:val="auto"/>
          <w:sz w:val="24"/>
          <w:szCs w:val="24"/>
          <w:highlight w:val="none"/>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2018 年大气污染防治攻坚行动方案》、徐城管发【2018】55 号文</w:t>
      </w:r>
      <w:r>
        <w:rPr>
          <w:rFonts w:hint="eastAsia" w:ascii="Arial" w:hAnsi="Arial"/>
          <w:b w:val="0"/>
          <w:bCs/>
          <w:color w:val="auto"/>
          <w:sz w:val="24"/>
          <w:szCs w:val="24"/>
          <w:highlight w:val="none"/>
          <w:u w:val="single"/>
        </w:rPr>
        <w:t xml:space="preserve">、“《关于印发&lt;徐州市建设工程扬尘（噪声）智慧监管系统建设实施意见（试行）&gt;的通知》（徐污防攻坚指办〔2023〕26号）”</w:t>
      </w:r>
      <w:r>
        <w:rPr>
          <w:rFonts w:ascii="Arial" w:hAnsi="Arial" w:eastAsia="Arial"/>
          <w:b w:val="0"/>
          <w:bCs/>
          <w:color w:val="auto"/>
          <w:sz w:val="24"/>
          <w:szCs w:val="24"/>
          <w:highlight w:val="none"/>
          <w:u w:val="single"/>
        </w:rPr>
        <w:t xml:space="preserve">的规定。</w:t>
      </w:r>
      <w:r>
        <w:rPr>
          <w:rFonts w:hint="eastAsia" w:ascii="Arial" w:hAnsi="Arial" w:eastAsia="宋体"/>
          <w:b w:val="0"/>
          <w:bCs/>
          <w:color w:val="auto"/>
          <w:sz w:val="24"/>
          <w:szCs w:val="24"/>
          <w:highlight w:val="none"/>
          <w:u w:val="single"/>
          <w:lang w:val="en-US" w:eastAsia="zh-CN"/>
        </w:rPr>
        <w:t xml:space="preserve">供应商</w:t>
      </w:r>
      <w:r>
        <w:rPr>
          <w:rFonts w:ascii="Arial" w:hAnsi="Arial" w:eastAsia="Arial"/>
          <w:b w:val="0"/>
          <w:bCs/>
          <w:color w:val="auto"/>
          <w:sz w:val="24"/>
          <w:szCs w:val="24"/>
          <w:highlight w:val="none"/>
          <w:u w:val="single"/>
        </w:rPr>
        <w:t xml:space="preserve">的扬尘防控环保要求必须符合严格按《徐建价 2018年1号》文执行，扬尘污染防治费按江苏省住房和城乡建设厅公告（2018）24号文执行计取。该费用已经包含在投标报价当中， 结算不再增加此项费用</w:t>
      </w:r>
      <w:r>
        <w:rPr>
          <w:rFonts w:ascii="Arial" w:hAnsi="Arial" w:eastAsia="Arial"/>
          <w:b w:val="0"/>
          <w:bCs/>
          <w:color w:val="auto"/>
          <w:sz w:val="24"/>
          <w:szCs w:val="24"/>
          <w:highlight w:val="none"/>
        </w:rPr>
        <w:t xml:space="preserve">。</w:t>
      </w:r>
      <w:r/>
    </w:p>
    <w:p>
      <w:pPr>
        <w:pStyle w:val="995"/>
        <w:ind w:firstLine="440"/>
        <w:keepLines w:val="0"/>
        <w:keepNext w:val="0"/>
        <w:pageBreakBefore w:val="0"/>
        <w:spacing w:after="200" w:line="324" w:lineRule="auto"/>
        <w:rPr>
          <w:b w:val="0"/>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Arial" w:hAnsi="Arial" w:eastAsia="Arial"/>
          <w:b w:val="0"/>
          <w:bCs/>
          <w:color w:val="auto"/>
          <w:sz w:val="24"/>
          <w:szCs w:val="24"/>
          <w:highlight w:val="none"/>
          <w:u w:val="single"/>
        </w:rPr>
        <w:t xml:space="preserve">按照《徐州市市区扬</w:t>
      </w:r>
      <w:r>
        <w:rPr>
          <w:rFonts w:ascii="Arial" w:hAnsi="Arial" w:eastAsia="Arial"/>
          <w:b w:val="0"/>
          <w:bCs/>
          <w:color w:val="auto"/>
          <w:sz w:val="24"/>
          <w:szCs w:val="24"/>
          <w:highlight w:val="none"/>
          <w:u w:val="single"/>
        </w:rPr>
        <w:t xml:space="preserve">尘污染防治办法》的要求，开工前 7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rPr>
          <w:rFonts w:ascii="Arial" w:hAnsi="Arial" w:eastAsia="Arial"/>
          <w:b w:val="0"/>
          <w:bCs/>
          <w:color w:val="auto"/>
          <w:sz w:val="24"/>
          <w:szCs w:val="24"/>
          <w:highlight w:val="none"/>
        </w:rPr>
        <w:t xml:space="preserve">。</w:t>
      </w:r>
      <w:r/>
    </w:p>
    <w:p>
      <w:pPr>
        <w:pStyle w:val="995"/>
        <w:ind w:firstLine="440"/>
        <w:keepLines w:val="0"/>
        <w:keepNext w:val="0"/>
        <w:pageBreakBefore w:val="0"/>
        <w:spacing w:after="200" w:line="324" w:lineRule="auto"/>
        <w:rPr>
          <w:b w:val="0"/>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Arial" w:hAnsi="Arial" w:eastAsia="Arial"/>
          <w:b w:val="0"/>
          <w:bCs/>
          <w:color w:val="auto"/>
          <w:sz w:val="24"/>
          <w:szCs w:val="24"/>
          <w:highlight w:val="none"/>
          <w:u w:val="single"/>
        </w:rPr>
        <w:t xml:space="preserve">⑧因扬尘治理、环境保护等情况未到达标准，而导致</w:t>
      </w:r>
      <w:r>
        <w:rPr>
          <w:rFonts w:ascii="宋体" w:hAnsi="宋体"/>
          <w:b w:val="0"/>
          <w:bCs/>
          <w:color w:val="auto"/>
          <w:sz w:val="24"/>
          <w:szCs w:val="24"/>
          <w:highlight w:val="none"/>
          <w:u w:val="single"/>
        </w:rPr>
        <w:t xml:space="preserve">发包方</w:t>
      </w:r>
      <w:r>
        <w:rPr>
          <w:rFonts w:ascii="Arial" w:hAnsi="Arial" w:eastAsia="Arial"/>
          <w:b w:val="0"/>
          <w:bCs/>
          <w:color w:val="auto"/>
          <w:sz w:val="24"/>
          <w:szCs w:val="24"/>
          <w:highlight w:val="none"/>
          <w:u w:val="single"/>
        </w:rPr>
        <w:t xml:space="preserve">被处罚，</w:t>
      </w:r>
      <w:r>
        <w:rPr>
          <w:rFonts w:ascii="宋体" w:hAnsi="宋体"/>
          <w:b w:val="0"/>
          <w:bCs/>
          <w:color w:val="auto"/>
          <w:sz w:val="24"/>
          <w:szCs w:val="24"/>
          <w:highlight w:val="none"/>
          <w:u w:val="single"/>
        </w:rPr>
        <w:t xml:space="preserve">发包方</w:t>
      </w:r>
      <w:r>
        <w:rPr>
          <w:rFonts w:ascii="Arial" w:hAnsi="Arial" w:eastAsia="Arial"/>
          <w:b w:val="0"/>
          <w:bCs/>
          <w:color w:val="auto"/>
          <w:sz w:val="24"/>
          <w:szCs w:val="24"/>
          <w:highlight w:val="none"/>
          <w:u w:val="single"/>
        </w:rPr>
        <w:t xml:space="preserve">将处罚金额从</w:t>
      </w:r>
      <w:r>
        <w:rPr>
          <w:rFonts w:ascii="宋体" w:hAnsi="宋体"/>
          <w:b w:val="0"/>
          <w:bCs/>
          <w:color w:val="auto"/>
          <w:sz w:val="24"/>
          <w:szCs w:val="24"/>
          <w:highlight w:val="none"/>
          <w:u w:val="single"/>
        </w:rPr>
        <w:t xml:space="preserve">承包方</w:t>
      </w:r>
      <w:r>
        <w:rPr>
          <w:rFonts w:ascii="Arial" w:hAnsi="Arial" w:eastAsia="Arial"/>
          <w:b w:val="0"/>
          <w:bCs/>
          <w:color w:val="auto"/>
          <w:sz w:val="24"/>
          <w:szCs w:val="24"/>
          <w:highlight w:val="none"/>
          <w:u w:val="single"/>
        </w:rPr>
        <w:t xml:space="preserve">工程款中扣除</w:t>
      </w:r>
      <w:r>
        <w:rPr>
          <w:rFonts w:ascii="Arial" w:hAnsi="Arial" w:eastAsia="Arial"/>
          <w:b w:val="0"/>
          <w:bCs/>
          <w:color w:val="auto"/>
          <w:sz w:val="24"/>
          <w:szCs w:val="24"/>
          <w:highlight w:val="none"/>
        </w:rPr>
        <w:t xml:space="preserve">。</w:t>
      </w:r>
      <w:r/>
    </w:p>
    <w:p>
      <w:pPr>
        <w:ind w:left="0" w:right="0" w:firstLine="480"/>
        <w:jc w:val="left"/>
        <w:keepLines w:val="0"/>
        <w:keepNext w:val="0"/>
        <w:pageBreakBefore w:val="0"/>
        <w:spacing w:after="0" w:line="324" w:lineRule="auto"/>
        <w:widowControl/>
        <w:rPr>
          <w:rFonts w:ascii="Arial" w:hAnsi="Arial" w:eastAsia="Arial"/>
          <w:b w:val="0"/>
          <w:bCs/>
          <w:color w:val="auto"/>
          <w:sz w:val="24"/>
          <w:szCs w:val="24"/>
          <w:highlight w:val="none"/>
        </w:rPr>
        <w:outlineLvl w:val="9"/>
      </w:pPr>
      <w:r>
        <w:rPr>
          <w:rFonts w:ascii="Arial" w:hAnsi="Arial" w:eastAsia="Arial"/>
          <w:b w:val="0"/>
          <w:bCs/>
          <w:color w:val="auto"/>
          <w:sz w:val="24"/>
          <w:szCs w:val="24"/>
          <w:highlight w:val="none"/>
          <w:u w:val="single"/>
        </w:rPr>
        <w:t xml:space="preserve">⑨文明施工相关法律、标准和规范的其他要求</w:t>
      </w:r>
      <w:r>
        <w:rPr>
          <w:rFonts w:ascii="Arial" w:hAnsi="Arial" w:eastAsia="Arial"/>
          <w:b w:val="0"/>
          <w:bCs/>
          <w:color w:val="auto"/>
          <w:sz w:val="24"/>
          <w:szCs w:val="24"/>
          <w:highlight w:val="none"/>
        </w:rPr>
        <w:t xml:space="preserve">。</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6.1.6关于安全文明施工费支付比例和支付期限的约定：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7. 工期和进度</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7.1 施工组织设计</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7.1.2 施工组织设计的提交和修改</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施工组织设计和总进度计划应于施工前7天提交发包人及监理工程师审批， 总进度计划应满足招标文件和合同对工期</w:t>
      </w:r>
      <w:r>
        <w:rPr>
          <w:rFonts w:hint="eastAsia" w:ascii="宋体" w:hAnsi="宋体" w:eastAsia="宋体" w:cs="宋体"/>
          <w:color w:val="auto"/>
          <w:sz w:val="24"/>
          <w:szCs w:val="24"/>
          <w:highlight w:val="none"/>
          <w:u w:val="single"/>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发包人和监理人在收到详细的施工组织设计后确认或提出修改意见的期限：收到后7日内 。</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7.2 施工进度计划</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施工进度计划的修订</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收到后3日内。</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7.3 开工</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7.3.1 开工准备</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合同签订后、接到监理方的书面开工指令7日内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开工报告批准日期之前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7.3.2开工通知</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7.4 测量放线</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7.5 工期延误</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rPr>
        <w:t xml:space="preserve">除不可抗力和</w:t>
      </w: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rPr>
        <w:t xml:space="preserve">原因造成的工期延误外，工期不得顺延。非</w:t>
      </w:r>
      <w:r>
        <w:rPr>
          <w:rFonts w:hint="eastAsia" w:ascii="宋体" w:hAnsi="宋体" w:eastAsia="宋体" w:cs="宋体"/>
          <w:color w:val="auto"/>
          <w:sz w:val="24"/>
          <w:szCs w:val="24"/>
          <w:highlight w:val="none"/>
        </w:rPr>
        <w:t xml:space="preserve">承包人</w:t>
      </w:r>
      <w:r>
        <w:rPr>
          <w:rFonts w:hint="eastAsia" w:ascii="宋体" w:hAnsi="宋体" w:eastAsia="宋体" w:cs="宋体"/>
          <w:b w:val="0"/>
          <w:bCs/>
          <w:color w:val="auto"/>
          <w:sz w:val="24"/>
          <w:szCs w:val="24"/>
          <w:highlight w:val="none"/>
        </w:rPr>
        <w:t xml:space="preserve">原因造成的工期延误，经</w:t>
      </w: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rPr>
        <w:t xml:space="preserve">确认后，工期顺延。</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7.5.1 因发包人原因导致工期延误</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执行通用条款。</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7.5.2 因承包人原因导致工期延误</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color w:val="auto"/>
          <w:sz w:val="24"/>
          <w:szCs w:val="24"/>
          <w:highlight w:val="none"/>
          <w:u w:val="single"/>
        </w:rPr>
        <w:t xml:space="preserve">每延误一天，由承包人向发包人按合同价款的</w:t>
      </w:r>
      <w:r>
        <w:rPr>
          <w:rFonts w:hint="eastAsia" w:ascii="宋体" w:hAnsi="宋体" w:eastAsia="宋体" w:cs="宋体"/>
          <w:color w:val="auto"/>
          <w:sz w:val="24"/>
          <w:szCs w:val="24"/>
          <w:highlight w:val="none"/>
          <w:u w:val="single"/>
          <w:lang w:val="en-US" w:eastAsia="zh-CN"/>
        </w:rPr>
        <w:t xml:space="preserve">百分之一</w:t>
      </w:r>
      <w:r>
        <w:rPr>
          <w:rFonts w:hint="eastAsia" w:ascii="宋体" w:hAnsi="宋体" w:eastAsia="宋体" w:cs="宋体"/>
          <w:color w:val="auto"/>
          <w:sz w:val="24"/>
          <w:szCs w:val="24"/>
          <w:highlight w:val="none"/>
          <w:u w:val="single"/>
        </w:rPr>
        <w:t xml:space="preserve">/天支付违约金。</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Pr>
        <w:t xml:space="preserve">总额不超过合同价款的</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7.6 不利物质条件</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7.7异常恶劣的气候条件</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发包人和承包人同意以下情形视为异常恶劣的气候条件：</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异常恶劣的气候条件的认定标准，以政府有关部门的规定为准。</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提前竣工的奖励</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提前竣工的奖励：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8. 材料与设备</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材料与工程设备的保管与使用</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.1发包人供应的材料设备的保管费用的承担：</w:t>
      </w:r>
      <w:r>
        <w:rPr>
          <w:rFonts w:hint="eastAsia" w:ascii="宋体" w:hAnsi="宋体" w:eastAsia="宋体" w:cs="宋体"/>
          <w:color w:val="auto"/>
          <w:sz w:val="24"/>
          <w:szCs w:val="24"/>
          <w:highlight w:val="none"/>
          <w:u w:val="single"/>
        </w:rPr>
        <w:t xml:space="preserve">承包人承担。</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样品</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.1样品的报送与封存</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施工设备和临时设施</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承包人提供的施工设备和临时设施</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由承包人自行承担</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9. 试验与检验</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9.1试验设备与试验人员</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9.1.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试验设备</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施工现场需要配置的试验场所：</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现场工艺试验 </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承包人根据相关法律、标准和规范及按照监理人指示进行试验并承担检测费用。</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10. 变更</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10.1 变更的范围</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执行通用条款。</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lang w:val="en-US" w:eastAsia="en-US"/>
        </w:rPr>
        <w:t xml:space="preserve">承包人根据发包人书面确认的变更文件予以变更。变更文件中须明确原做法、变更后做法及工艺、材料名称、规格、品牌、尺寸等，标注要清晰 。</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变更估价</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变更估价原则</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关于变更估价的约定: </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1.1设计变更引起新增工程量清单项目，其相应综合单价按本招标文件规定的招标控制价计价编制办法计算，再乘以中标价与招标控制价相比的浮动比率后作为综合单价进行结算。以上变更及工程量签证，必须由发、承包双方、现场监理工程师共同确认。</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.1.2工程量增减，其相应综合单价执行投标报价的综合单价，但不得高于定额价的综合单价。</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.1.3清单项目中特征描述不全的工序，如图纸已明确或已指明引用的规范、图集等或是常规工艺必须的工序，应包括在报价中。</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以上10.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.1.1、10.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.1.2条以外原因引起的价款调整按照以下方法处理：</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（1）有类似单价的，参照类似单价；</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（2）没有类似单价的，按照变更发生前一个月的《徐州工程造价信息》中相应的材料价格和相应的定额计价，同时按照中标价与招标控制价的整体下浮比率下浮；</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3）《徐州工程造价信息》中没有相应材料价格的，双方比价采购或者由招标人经招标确定价格后，计入相应的定额计价，但该部分材料价格不再参与下浮，其余部分按照中标价与招标控制价的整体下浮比率下浮。</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.1.5因分部分项工程量清单漏项、数量调整或非承包人原因的工程变更，造成施工组织设计或施工方案变更，引起措施项目发生变化时，在结算按照以下规定调整：</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（1）总价措施措施费仍按投标时费率进行调整（其中安全文明增加费及按质论价费的费率按实调整）。</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2）单价措施（排水、降水、脚手架、围堰、便桥、封底混凝土、便道、围挡）的措施费按照单价措施项目清单投标单价，结算按实调整（除由设计变更引起的单价措施工程量调整外，结算工程量不得超过投标清单工程量）。</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bookmarkStart w:id="113" w:name="_Toc300934993"/>
      <w:r/>
      <w:bookmarkStart w:id="114" w:name="_Toc297048383"/>
      <w:r/>
      <w:bookmarkStart w:id="115" w:name="_Toc303539150"/>
      <w:r/>
      <w:bookmarkStart w:id="116" w:name="_Toc292559402"/>
      <w:r/>
      <w:bookmarkStart w:id="117" w:name="_Toc296891237"/>
      <w:r/>
      <w:bookmarkStart w:id="118" w:name="_Toc297120497"/>
      <w:r/>
      <w:bookmarkStart w:id="119" w:name="_Toc296944536"/>
      <w:r/>
      <w:bookmarkStart w:id="120" w:name="_Toc292559907"/>
      <w:r/>
      <w:bookmarkStart w:id="121" w:name="_Toc296347196"/>
      <w:r/>
      <w:bookmarkStart w:id="122" w:name="_Toc296891025"/>
      <w:r/>
      <w:bookmarkStart w:id="123" w:name="_Toc297123544"/>
      <w:r/>
      <w:bookmarkStart w:id="124" w:name="_Toc297216203"/>
      <w:r/>
      <w:bookmarkStart w:id="125" w:name="_Toc296503197"/>
      <w:r/>
      <w:bookmarkStart w:id="126" w:name="_Toc296346698"/>
      <w:r/>
      <w:bookmarkStart w:id="127" w:name="_Toc304295570"/>
      <w:r/>
      <w:bookmarkStart w:id="128" w:name="_Toc312678029"/>
      <w:r/>
      <w:bookmarkStart w:id="129" w:name="_Toc312677503"/>
      <w:r>
        <w:rPr>
          <w:rFonts w:hint="eastAsia" w:ascii="宋体" w:hAnsi="宋体" w:eastAsia="宋体" w:cs="宋体"/>
          <w:color w:val="auto"/>
          <w:sz w:val="24"/>
          <w:szCs w:val="24"/>
          <w:highlight w:val="none"/>
        </w:rPr>
        <w:t xml:space="preserve">0.5承</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Start w:id="130" w:name="_Toc296891031"/>
      <w:r/>
      <w:bookmarkStart w:id="131" w:name="_Toc297120503"/>
      <w:r/>
      <w:bookmarkStart w:id="132" w:name="_Toc296346704"/>
      <w:r/>
      <w:bookmarkStart w:id="133" w:name="_Toc292559408"/>
      <w:r/>
      <w:bookmarkStart w:id="134" w:name="_Toc297216204"/>
      <w:r/>
      <w:bookmarkStart w:id="135" w:name="_Toc303539151"/>
      <w:r/>
      <w:bookmarkStart w:id="136" w:name="_Toc296944542"/>
      <w:r/>
      <w:bookmarkStart w:id="137" w:name="_Toc296347202"/>
      <w:r/>
      <w:bookmarkStart w:id="138" w:name="_Toc297123545"/>
      <w:r/>
      <w:bookmarkStart w:id="139" w:name="_Toc300934994"/>
      <w:r/>
      <w:bookmarkStart w:id="140" w:name="_Toc292559913"/>
      <w:r/>
      <w:bookmarkStart w:id="141" w:name="_Toc296503203"/>
      <w:r/>
      <w:bookmarkStart w:id="142" w:name="_Toc296891243"/>
      <w:r/>
      <w:bookmarkStart w:id="143" w:name="_Toc297048389"/>
      <w:r>
        <w:rPr>
          <w:rFonts w:hint="eastAsia" w:ascii="宋体" w:hAnsi="宋体" w:eastAsia="宋体" w:cs="宋体"/>
          <w:color w:val="auto"/>
          <w:sz w:val="24"/>
          <w:szCs w:val="24"/>
          <w:highlight w:val="none"/>
        </w:rPr>
        <w:t xml:space="preserve">包人的合理化建议</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实施前14日内</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实施前7日内</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w:t>
      </w:r>
      <w:bookmarkStart w:id="144" w:name="_Toc292559914"/>
      <w:r/>
      <w:bookmarkStart w:id="145" w:name="_Toc304295571"/>
      <w:r/>
      <w:bookmarkStart w:id="146" w:name="_Toc297048390"/>
      <w:r/>
      <w:bookmarkStart w:id="147" w:name="_Toc296503204"/>
      <w:r/>
      <w:bookmarkStart w:id="148" w:name="_Toc296944543"/>
      <w:r/>
      <w:bookmarkStart w:id="149" w:name="_Toc318581175"/>
      <w:r/>
      <w:bookmarkStart w:id="150" w:name="_Toc300934995"/>
      <w:r/>
      <w:bookmarkStart w:id="151" w:name="_Toc312678030"/>
      <w:r/>
      <w:bookmarkStart w:id="152" w:name="_Toc312677504"/>
      <w:r/>
      <w:bookmarkStart w:id="153" w:name="_Toc296346705"/>
      <w:r/>
      <w:bookmarkStart w:id="154" w:name="_Toc292559409"/>
      <w:r/>
      <w:bookmarkStart w:id="155" w:name="_Toc296891244"/>
      <w:r/>
      <w:bookmarkStart w:id="156" w:name="_Toc296347203"/>
      <w:r/>
      <w:bookmarkStart w:id="157" w:name="_Toc297123546"/>
      <w:r/>
      <w:bookmarkStart w:id="158" w:name="_Toc297216205"/>
      <w:r/>
      <w:bookmarkStart w:id="159" w:name="_Toc303539152"/>
      <w:r/>
      <w:bookmarkStart w:id="160" w:name="_Toc297120504"/>
      <w:r/>
      <w:bookmarkStart w:id="161" w:name="_Toc296891032"/>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162" w:name="_Toc351203643"/>
      <w:r>
        <w:rPr>
          <w:rFonts w:hint="eastAsia" w:ascii="宋体" w:hAnsi="宋体" w:eastAsia="宋体" w:cs="宋体"/>
          <w:b/>
          <w:bCs/>
          <w:color w:val="auto"/>
          <w:sz w:val="24"/>
          <w:szCs w:val="24"/>
          <w:highlight w:val="none"/>
        </w:rPr>
        <w:t xml:space="preserve">11.价格调整</w:t>
      </w:r>
      <w:bookmarkEnd w:id="162"/>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bookmarkStart w:id="163" w:name="_Toc296944540"/>
      <w:r/>
      <w:bookmarkStart w:id="164" w:name="_Toc296346702"/>
      <w:r/>
      <w:bookmarkStart w:id="165" w:name="_Toc296347200"/>
      <w:r/>
      <w:bookmarkStart w:id="166" w:name="_Toc304295577"/>
      <w:r/>
      <w:bookmarkStart w:id="167" w:name="_Toc297123550"/>
      <w:r/>
      <w:bookmarkStart w:id="168" w:name="_Toc296503201"/>
      <w:r/>
      <w:bookmarkStart w:id="169" w:name="_Toc297120501"/>
      <w:r/>
      <w:bookmarkStart w:id="170" w:name="_Toc300935000"/>
      <w:r/>
      <w:bookmarkStart w:id="171" w:name="_Toc297048387"/>
      <w:r/>
      <w:bookmarkStart w:id="172" w:name="_Toc297216209"/>
      <w:r/>
      <w:bookmarkStart w:id="173" w:name="_Toc303539157"/>
      <w:r/>
      <w:bookmarkStart w:id="174" w:name="_Toc292559911"/>
      <w:r/>
      <w:bookmarkStart w:id="175" w:name="_Toc296891241"/>
      <w:r/>
      <w:bookmarkStart w:id="176" w:name="_Toc312678039"/>
      <w:r/>
      <w:bookmarkStart w:id="177" w:name="_Toc292559406"/>
      <w:r/>
      <w:bookmarkStart w:id="178" w:name="_Toc296891029"/>
      <w:r>
        <w:rPr>
          <w:rFonts w:hint="eastAsia" w:ascii="宋体" w:hAnsi="宋体" w:eastAsia="宋体" w:cs="宋体"/>
          <w:color w:val="auto"/>
          <w:sz w:val="24"/>
          <w:szCs w:val="24"/>
          <w:highlight w:val="none"/>
        </w:rPr>
        <w:t xml:space="preserve">11.1市场价格波动引起的调整</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
    </w:p>
    <w:p>
      <w:pPr>
        <w:pStyle w:val="1012"/>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b/>
          <w:color w:val="auto"/>
          <w:sz w:val="24"/>
          <w:szCs w:val="24"/>
          <w:highlight w:val="none"/>
          <w:u w:val="single"/>
        </w:rPr>
        <w:t xml:space="preserve">承包人在投标时应已充分考虑到施工期间各类建材的市场风险，并计入总报价，合同履行期间不予调整</w:t>
      </w:r>
      <w:r>
        <w:rPr>
          <w:rFonts w:hint="eastAsia" w:ascii="宋体" w:hAnsi="宋体" w:eastAsia="宋体" w:cs="宋体"/>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种方式对合同价格进行调整：</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第1种方式：采用价格指数进行价格调整。</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第2种方式：采用造价信息进行价格调整。</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专用合同条款：</w:t>
      </w:r>
      <w:r>
        <w:rPr>
          <w:rFonts w:hint="eastAsia" w:ascii="宋体" w:hAnsi="宋体" w:eastAsia="宋体" w:cs="宋体"/>
          <w:color w:val="auto"/>
          <w:sz w:val="24"/>
          <w:szCs w:val="24"/>
          <w:highlight w:val="none"/>
          <w:u w:val="single"/>
        </w:rPr>
        <w:t xml:space="preserve">（1）承包人投标报价中材料单价低于基准单价：施工期间材料单价涨幅以基准单价为基础超过5%，或材料单价跌幅以投标报价为基础超过5%时，其超过部分按实调整。</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（2）承包人投标报价中材料单价高于基准单价：施工期间材料单价跌幅以基准单价为基础超过5%，或材料单价涨幅以投标报价为基础超过5%时，其超过部分按实调整。</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（3）承包人投标报价中材料单价等于基准单价：施工期间材料单价涨、跌幅均以基准单价为基础，涨幅超过5%和跌幅超过5%，其超过部分按实调整。</w:t>
      </w:r>
      <w:r/>
    </w:p>
    <w:p>
      <w:pPr>
        <w:ind w:left="0" w:right="0" w:firstLine="480"/>
        <w:jc w:val="left"/>
        <w:keepLines w:val="0"/>
        <w:keepNext w:val="0"/>
        <w:pageBreakBefore w:val="0"/>
        <w:spacing w:after="0" w:line="324" w:lineRule="auto"/>
        <w:rPr>
          <w:rFonts w:hint="eastAsia" w:ascii="宋体" w:hAnsi="宋体" w:eastAsia="宋体" w:cs="宋体"/>
          <w:b w:val="0"/>
          <w:bCs w:val="0"/>
          <w:color w:val="auto"/>
          <w:sz w:val="24"/>
          <w:szCs w:val="24"/>
          <w:highlight w:val="none"/>
          <w:u w:val="single"/>
        </w:rPr>
        <w:outlineLvl w:val="9"/>
      </w:pPr>
      <w:r>
        <w:rPr>
          <w:rFonts w:hint="eastAsia" w:ascii="宋体" w:hAnsi="宋体" w:eastAsia="宋体" w:cs="宋体"/>
          <w:b w:val="0"/>
          <w:bCs w:val="0"/>
          <w:color w:val="auto"/>
          <w:sz w:val="24"/>
          <w:szCs w:val="24"/>
          <w:highlight w:val="none"/>
        </w:rPr>
        <w:t xml:space="preserve">第3种方式：其他价格调整方式：</w:t>
      </w:r>
      <w:r>
        <w:rPr>
          <w:rFonts w:hint="eastAsia" w:ascii="宋体" w:hAnsi="宋体" w:eastAsia="宋体" w:cs="宋体"/>
          <w:b w:val="0"/>
          <w:bCs w:val="0"/>
          <w:color w:val="auto"/>
          <w:sz w:val="24"/>
          <w:szCs w:val="24"/>
          <w:highlight w:val="none"/>
          <w:u w:val="single"/>
        </w:rPr>
        <w:t xml:space="preserve">本工程工期较短，市场价格波动不调整。</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12.合同价格、计量与支付</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bookmarkStart w:id="179" w:name="_Toc292559411"/>
      <w:r/>
      <w:bookmarkStart w:id="180" w:name="_Toc267251461"/>
      <w:r/>
      <w:bookmarkStart w:id="181" w:name="_Toc292559916"/>
      <w:r/>
      <w:bookmarkStart w:id="182" w:name="_Toc296944545"/>
      <w:r/>
      <w:bookmarkStart w:id="183" w:name="_Toc297048392"/>
      <w:r/>
      <w:bookmarkStart w:id="184" w:name="_Toc296347205"/>
      <w:r/>
      <w:bookmarkStart w:id="185" w:name="_Toc296346707"/>
      <w:r/>
      <w:bookmarkStart w:id="186" w:name="_Toc296891034"/>
      <w:r/>
      <w:bookmarkStart w:id="187" w:name="_Toc296891246"/>
      <w:r/>
      <w:bookmarkStart w:id="188" w:name="_Toc296503206"/>
      <w:r/>
      <w:bookmarkStart w:id="189" w:name="_Toc297120506"/>
      <w:r/>
      <w:bookmarkStart w:id="190" w:name="_Toc303539160"/>
      <w:r/>
      <w:bookmarkStart w:id="191" w:name="_Toc297216212"/>
      <w:r/>
      <w:bookmarkStart w:id="192" w:name="_Toc300935003"/>
      <w:r/>
      <w:bookmarkStart w:id="193" w:name="_Toc312678041"/>
      <w:r/>
      <w:bookmarkStart w:id="194" w:name="_Toc304295580"/>
      <w:r/>
      <w:bookmarkStart w:id="195" w:name="_Toc297123553"/>
      <w:r>
        <w:rPr>
          <w:rFonts w:hint="eastAsia" w:ascii="宋体" w:hAnsi="宋体" w:eastAsia="宋体" w:cs="宋体"/>
          <w:color w:val="auto"/>
          <w:sz w:val="24"/>
          <w:szCs w:val="24"/>
          <w:highlight w:val="none"/>
        </w:rPr>
        <w:t xml:space="preserve">12.1合</w:t>
      </w:r>
      <w:bookmarkEnd w:id="179"/>
      <w:r/>
      <w:bookmarkEnd w:id="180"/>
      <w:r/>
      <w:bookmarkEnd w:id="181"/>
      <w:r>
        <w:rPr>
          <w:rFonts w:hint="eastAsia" w:ascii="宋体" w:hAnsi="宋体" w:eastAsia="宋体" w:cs="宋体"/>
          <w:color w:val="auto"/>
          <w:sz w:val="24"/>
          <w:szCs w:val="24"/>
          <w:highlight w:val="none"/>
        </w:rPr>
        <w:t xml:space="preserve">同价</w:t>
      </w:r>
      <w:bookmarkEnd w:id="182"/>
      <w:r/>
      <w:bookmarkEnd w:id="183"/>
      <w:r/>
      <w:bookmarkEnd w:id="184"/>
      <w:r/>
      <w:bookmarkEnd w:id="185"/>
      <w:r/>
      <w:bookmarkEnd w:id="186"/>
      <w:r/>
      <w:bookmarkEnd w:id="187"/>
      <w:r/>
      <w:bookmarkEnd w:id="188"/>
      <w:r/>
      <w:bookmarkEnd w:id="189"/>
      <w:r>
        <w:rPr>
          <w:rFonts w:hint="eastAsia" w:ascii="宋体" w:hAnsi="宋体" w:eastAsia="宋体" w:cs="宋体"/>
          <w:color w:val="auto"/>
          <w:sz w:val="24"/>
          <w:szCs w:val="24"/>
          <w:highlight w:val="none"/>
        </w:rPr>
        <w:t xml:space="preserve">格形式</w:t>
      </w:r>
      <w:bookmarkEnd w:id="190"/>
      <w:r/>
      <w:bookmarkEnd w:id="191"/>
      <w:r/>
      <w:bookmarkEnd w:id="192"/>
      <w:r/>
      <w:bookmarkEnd w:id="193"/>
      <w:r/>
      <w:bookmarkEnd w:id="194"/>
      <w:r/>
      <w:bookmarkEnd w:id="195"/>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1、单价合同。</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综合单价包含的风险范围：</w:t>
      </w:r>
      <w:r/>
    </w:p>
    <w:p>
      <w:pPr>
        <w:ind w:left="0" w:right="0" w:firstLine="480"/>
        <w:jc w:val="left"/>
        <w:keepLines w:val="0"/>
        <w:keepNext w:val="0"/>
        <w:pageBreakBefore w:val="0"/>
        <w:spacing w:after="0" w:line="324" w:lineRule="auto"/>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u w:val="single"/>
        </w:rPr>
        <w:t xml:space="preserve">1）</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应充分考虑可能出现的反季节种植，并视为已体现在投标报价中,结算时不予调整。</w:t>
      </w:r>
      <w:r/>
    </w:p>
    <w:p>
      <w:pPr>
        <w:ind w:left="0" w:right="0" w:firstLine="480"/>
        <w:jc w:val="left"/>
        <w:keepLines w:val="0"/>
        <w:keepNext w:val="0"/>
        <w:pageBreakBefore w:val="0"/>
        <w:spacing w:after="0" w:line="324" w:lineRule="auto"/>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u w:val="single"/>
        </w:rPr>
        <w:t xml:space="preserve">2）开工后，根据现场实际施工条件，招标人可能会安排中标人分段施工，</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需考虑时间间隔对自身产生的影响并视为已体现在投标报价中。</w:t>
      </w:r>
      <w:r/>
    </w:p>
    <w:p>
      <w:pPr>
        <w:ind w:left="0" w:right="0" w:firstLine="480"/>
        <w:jc w:val="left"/>
        <w:keepLines w:val="0"/>
        <w:keepNext w:val="0"/>
        <w:pageBreakBefore w:val="0"/>
        <w:spacing w:after="0" w:line="324" w:lineRule="auto"/>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）本工程工期紧、任务重，</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jc w:val="left"/>
        <w:keepLines w:val="0"/>
        <w:keepNext w:val="0"/>
        <w:pageBreakBefore w:val="0"/>
        <w:spacing w:after="0" w:line="324" w:lineRule="auto"/>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u w:val="single"/>
          <w:lang w:val="en-US" w:eastAsia="zh-CN"/>
        </w:rPr>
        <w:t xml:space="preserve">4</w:t>
      </w:r>
      <w:r>
        <w:rPr>
          <w:rFonts w:hint="eastAsia" w:ascii="宋体" w:hAnsi="宋体" w:eastAsia="宋体" w:cs="宋体"/>
          <w:bCs/>
          <w:color w:val="auto"/>
          <w:sz w:val="24"/>
          <w:szCs w:val="24"/>
          <w:highlight w:val="none"/>
          <w:u w:val="single"/>
        </w:rPr>
        <w:t xml:space="preserve">）地方关系、施工涉及的交通协调费</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自行考虑，就此项招标人不支付任何费用。</w:t>
      </w:r>
      <w:r/>
    </w:p>
    <w:p>
      <w:pPr>
        <w:ind w:left="0" w:right="0" w:firstLine="480"/>
        <w:jc w:val="left"/>
        <w:keepLines w:val="0"/>
        <w:keepNext w:val="0"/>
        <w:pageBreakBefore w:val="0"/>
        <w:spacing w:after="0" w:line="324" w:lineRule="auto"/>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）中标人的施工组织设计施工前，必须报监理、业主审批，进行再深化后执行。</w:t>
      </w:r>
      <w:r/>
    </w:p>
    <w:p>
      <w:pPr>
        <w:ind w:left="0" w:right="0" w:firstLine="480"/>
        <w:jc w:val="left"/>
        <w:keepLines w:val="0"/>
        <w:keepNext w:val="0"/>
        <w:pageBreakBefore w:val="0"/>
        <w:spacing w:after="0" w:line="324" w:lineRule="auto"/>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应自主考虑在投标报价中，结算时不作调整。</w:t>
      </w:r>
      <w:r/>
    </w:p>
    <w:p>
      <w:pPr>
        <w:ind w:left="0" w:right="0" w:firstLine="480"/>
        <w:jc w:val="left"/>
        <w:keepLines w:val="0"/>
        <w:keepNext w:val="0"/>
        <w:pageBreakBefore w:val="0"/>
        <w:spacing w:after="0" w:line="324" w:lineRule="auto"/>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勘查现场后必须在施工组织设计中体现：1、</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保正有序、和谐施工，力保不发生人身伤害等恶性事件；2、现场分段施工的措施方案，临设搭设转移等措施项目费用；3、保护已有建筑、管网、线路等措施；4、控制现场扬尘、施工围挡等文明施工措施，</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必须</w:t>
      </w:r>
      <w:r>
        <w:rPr>
          <w:rFonts w:hint="eastAsia" w:ascii="宋体" w:hAnsi="宋体" w:eastAsia="宋体" w:cs="宋体"/>
          <w:bCs/>
          <w:color w:val="auto"/>
          <w:sz w:val="24"/>
          <w:szCs w:val="24"/>
          <w:highlight w:val="none"/>
          <w:u w:val="single"/>
          <w:lang w:val="en-US" w:eastAsia="zh-CN"/>
        </w:rPr>
        <w:t xml:space="preserve">严格按照</w:t>
      </w:r>
      <w:r>
        <w:rPr>
          <w:rFonts w:hint="eastAsia" w:ascii="宋体" w:hAnsi="宋体" w:eastAsia="宋体" w:cs="宋体"/>
          <w:bCs/>
          <w:color w:val="auto"/>
          <w:sz w:val="24"/>
          <w:szCs w:val="24"/>
          <w:highlight w:val="none"/>
          <w:u w:val="single"/>
        </w:rPr>
        <w:t xml:space="preserve">《市政府关于印发徐州市2017-2018年秋冬季大气污染防治强化管控方案的通知》（徐政发</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2017</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53号）、《关于印发徐州市市区工地扬尘污染管理规范的通知》（徐空气提升办﹝2018﹞11号）和《徐州市2018年大气污染防治攻坚行动方案》、徐城管发</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2018</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55号文</w:t>
      </w:r>
      <w:r>
        <w:rPr>
          <w:rFonts w:hint="eastAsia" w:ascii="宋体" w:hAnsi="宋体" w:eastAsia="宋体" w:cs="宋体"/>
          <w:bCs/>
          <w:color w:val="auto"/>
          <w:sz w:val="24"/>
          <w:szCs w:val="24"/>
          <w:highlight w:val="none"/>
          <w:u w:val="single"/>
          <w:lang w:eastAsia="zh-CN"/>
        </w:rPr>
        <w:t xml:space="preserve">、《关于印发&lt;徐州市建设工程扬尘（噪声）智慧监管系统建设实施意见（试行）&gt;的通知》（徐污防攻坚指办〔2023〕26号）、《关于进一步加强市区建设工地扬尘污染防治的通知》(徐住建发(2023)62号)</w:t>
      </w:r>
      <w:r>
        <w:rPr>
          <w:rFonts w:hint="eastAsia" w:ascii="宋体" w:hAnsi="宋体" w:eastAsia="宋体" w:cs="宋体"/>
          <w:bCs/>
          <w:color w:val="auto"/>
          <w:sz w:val="24"/>
          <w:szCs w:val="24"/>
          <w:highlight w:val="none"/>
          <w:u w:val="single"/>
        </w:rPr>
        <w:t xml:space="preserve">的规定。扬尘治理按徐建价2018年1号文执行、2号文计取。承包人须按规范要求做好扬尘污染防治措施，全部费用均包含在内。</w:t>
      </w:r>
      <w:r/>
    </w:p>
    <w:p>
      <w:pPr>
        <w:ind w:left="0" w:right="0" w:firstLine="480"/>
        <w:jc w:val="left"/>
        <w:keepLines w:val="0"/>
        <w:keepNext w:val="0"/>
        <w:pageBreakBefore w:val="0"/>
        <w:spacing w:after="0" w:line="324" w:lineRule="auto"/>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u w:val="single"/>
          <w:lang w:val="en-US" w:eastAsia="zh-CN"/>
        </w:rPr>
        <w:t xml:space="preserve">8</w:t>
      </w:r>
      <w:r>
        <w:rPr>
          <w:rFonts w:hint="eastAsia" w:ascii="宋体" w:hAnsi="宋体" w:eastAsia="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作为一名有经验的承包商，应预见施工中与综合管线等其他专业施工单位发生的配合工作，请</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自主考虑相关配合费用在本工程投标报价中，招标人不再另行支付，今后按工作需要根据招标人指示处理。</w:t>
      </w:r>
      <w:r/>
    </w:p>
    <w:p>
      <w:pPr>
        <w:ind w:left="0" w:right="0" w:firstLine="480"/>
        <w:jc w:val="left"/>
        <w:keepLines w:val="0"/>
        <w:keepNext w:val="0"/>
        <w:pageBreakBefore w:val="0"/>
        <w:spacing w:after="0" w:line="324" w:lineRule="auto"/>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）清单项目中特征描述不全的工序，如图纸已明确或已指明引用的规范、图集等或是常规工艺必须的工序，应包括在报价中。</w:t>
      </w:r>
      <w:r/>
    </w:p>
    <w:p>
      <w:pPr>
        <w:ind w:left="0" w:right="0" w:firstLine="480"/>
        <w:jc w:val="left"/>
        <w:keepLines w:val="0"/>
        <w:keepNext w:val="0"/>
        <w:pageBreakBefore w:val="0"/>
        <w:spacing w:after="0" w:line="324" w:lineRule="auto"/>
        <w:rPr>
          <w:rFonts w:hint="eastAsia" w:ascii="宋体" w:hAnsi="宋体" w:eastAsia="宋体" w:cs="宋体"/>
          <w:bCs/>
          <w:color w:val="auto"/>
          <w:sz w:val="24"/>
          <w:szCs w:val="24"/>
          <w:highlight w:val="none"/>
          <w:u w:val="single"/>
          <w:lang w:val="en-US" w:eastAsia="zh-CN"/>
        </w:rPr>
        <w:outlineLvl w:val="9"/>
      </w:pPr>
      <w:r>
        <w:rPr>
          <w:rFonts w:hint="eastAsia" w:ascii="宋体" w:hAnsi="宋体" w:eastAsia="宋体" w:cs="宋体"/>
          <w:bCs/>
          <w:color w:val="auto"/>
          <w:sz w:val="24"/>
          <w:szCs w:val="24"/>
          <w:highlight w:val="none"/>
          <w:u w:val="single"/>
          <w:lang w:val="en-US" w:eastAsia="zh-CN"/>
        </w:rPr>
        <w:t xml:space="preserve">10）承包人必须对工程现场施工人员全部实行实名制考勤管理，签订劳动合同，设立工资存储专用账户，按照工程进度和工人实名制登记信息，按月足额由银行代发工资。</w:t>
      </w:r>
      <w:r/>
    </w:p>
    <w:p>
      <w:pPr>
        <w:ind w:left="0" w:right="0" w:firstLine="480"/>
        <w:jc w:val="left"/>
        <w:keepLines w:val="0"/>
        <w:keepNext w:val="0"/>
        <w:pageBreakBefore w:val="0"/>
        <w:spacing w:after="0" w:line="324" w:lineRule="auto"/>
        <w:rPr>
          <w:rFonts w:hint="eastAsia" w:ascii="宋体" w:hAnsi="宋体" w:eastAsia="宋体" w:cs="宋体"/>
          <w:bCs/>
          <w:color w:val="auto"/>
          <w:sz w:val="24"/>
          <w:szCs w:val="24"/>
          <w:highlight w:val="none"/>
          <w:u w:val="single"/>
          <w:lang w:eastAsia="zh-CN"/>
        </w:rPr>
        <w:outlineLvl w:val="9"/>
      </w:pPr>
      <w:r>
        <w:rPr>
          <w:rFonts w:hint="eastAsia" w:ascii="宋体" w:hAnsi="宋体" w:eastAsia="宋体" w:cs="宋体"/>
          <w:bCs/>
          <w:color w:val="auto"/>
          <w:sz w:val="24"/>
          <w:szCs w:val="24"/>
          <w:highlight w:val="none"/>
          <w:u w:val="single"/>
          <w:lang w:val="en-US" w:eastAsia="zh-CN"/>
        </w:rPr>
        <w:t xml:space="preserve">11</w:t>
      </w:r>
      <w:r>
        <w:rPr>
          <w:rFonts w:hint="eastAsia" w:ascii="宋体" w:hAnsi="宋体" w:eastAsia="宋体" w:cs="宋体"/>
          <w:bCs/>
          <w:color w:val="auto"/>
          <w:sz w:val="24"/>
          <w:szCs w:val="24"/>
          <w:highlight w:val="none"/>
          <w:u w:val="single"/>
        </w:rPr>
        <w:t xml:space="preserve">）±5%以内的可调材料价格风险以及除可调材料以外其他材料的全部风险。</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bCs/>
          <w:color w:val="auto"/>
          <w:sz w:val="24"/>
          <w:szCs w:val="24"/>
          <w:highlight w:val="none"/>
          <w:u w:val="single"/>
          <w:lang w:val="en-US" w:eastAsia="zh-CN"/>
        </w:rPr>
        <w:t xml:space="preserve">12</w:t>
      </w:r>
      <w:r>
        <w:rPr>
          <w:rFonts w:hint="eastAsia" w:ascii="宋体" w:hAnsi="宋体" w:eastAsia="宋体" w:cs="宋体"/>
          <w:bCs/>
          <w:color w:val="auto"/>
          <w:sz w:val="24"/>
          <w:szCs w:val="24"/>
          <w:highlight w:val="none"/>
          <w:u w:val="single"/>
        </w:rPr>
        <w:t xml:space="preserve">）其他招标文件已指明的内容。</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2、总价合同。</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bookmarkStart w:id="196" w:name="_Toc300935004"/>
      <w:r/>
      <w:bookmarkStart w:id="197" w:name="_Toc297216213"/>
      <w:r/>
      <w:bookmarkStart w:id="198" w:name="_Toc303539161"/>
      <w:r/>
      <w:bookmarkStart w:id="199" w:name="_Toc297123554"/>
      <w:r/>
      <w:bookmarkStart w:id="200" w:name="_Toc312678042"/>
      <w:r/>
      <w:bookmarkStart w:id="201" w:name="_Toc304295581"/>
      <w:r/>
      <w:bookmarkStart w:id="202" w:name="_Toc292559412"/>
      <w:r/>
      <w:bookmarkStart w:id="203" w:name="_Toc297048393"/>
      <w:r/>
      <w:bookmarkStart w:id="204" w:name="_Toc296346708"/>
      <w:r/>
      <w:bookmarkStart w:id="205" w:name="_Toc296944546"/>
      <w:r/>
      <w:bookmarkStart w:id="206" w:name="_Toc296891247"/>
      <w:r/>
      <w:bookmarkStart w:id="207" w:name="_Toc296347206"/>
      <w:r/>
      <w:bookmarkStart w:id="208" w:name="_Toc292559917"/>
      <w:r/>
      <w:bookmarkStart w:id="209" w:name="_Toc297120507"/>
      <w:r/>
      <w:bookmarkStart w:id="210" w:name="_Toc296503207"/>
      <w:r/>
      <w:bookmarkStart w:id="211" w:name="_Toc296891035"/>
      <w:r>
        <w:rPr>
          <w:rFonts w:hint="eastAsia" w:ascii="宋体" w:hAnsi="宋体" w:eastAsia="宋体" w:cs="宋体"/>
          <w:color w:val="auto"/>
          <w:sz w:val="24"/>
          <w:szCs w:val="24"/>
          <w:highlight w:val="none"/>
        </w:rPr>
        <w:t xml:space="preserve">12.2预付款</w:t>
      </w:r>
      <w:bookmarkEnd w:id="196"/>
      <w:r/>
      <w:bookmarkEnd w:id="197"/>
      <w:r/>
      <w:bookmarkEnd w:id="198"/>
      <w:r/>
      <w:bookmarkEnd w:id="199"/>
      <w:r/>
      <w:bookmarkEnd w:id="200"/>
      <w:r/>
      <w:bookmarkEnd w:id="201"/>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12.2.1预付款的支付</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lang w:val="en-US" w:eastAsia="zh-CN"/>
        </w:rPr>
        <w:t xml:space="preserve"> 详见12.4.1 付款周期 </w:t>
      </w:r>
      <w:r>
        <w:rPr>
          <w:rFonts w:hint="eastAsia" w:ascii="宋体" w:hAnsi="宋体" w:eastAsia="宋体" w:cs="宋体"/>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lang w:val="en-US" w:eastAsia="zh-CN"/>
        </w:rPr>
        <w:t xml:space="preserve"> 详见12.4.1 付款周期 </w:t>
      </w:r>
      <w:r>
        <w:rPr>
          <w:rFonts w:hint="eastAsia" w:ascii="宋体" w:hAnsi="宋体" w:eastAsia="宋体" w:cs="宋体"/>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不扣回</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转为工程进度款</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12.2.2预付款担保</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bookmarkEnd w:id="202"/>
      <w:r/>
      <w:bookmarkEnd w:id="203"/>
      <w:r/>
      <w:bookmarkEnd w:id="204"/>
      <w:r/>
      <w:bookmarkEnd w:id="205"/>
      <w:r/>
      <w:bookmarkEnd w:id="206"/>
      <w:r/>
      <w:bookmarkEnd w:id="207"/>
      <w:r/>
      <w:bookmarkEnd w:id="208"/>
      <w:r/>
      <w:bookmarkEnd w:id="209"/>
      <w:r/>
      <w:bookmarkEnd w:id="210"/>
      <w:r/>
      <w:bookmarkEnd w:id="211"/>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12.3计量</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12.3.1计量原则</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工程量计算规则：执行现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苏建函价〔2020〕115号</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江苏省土建装饰工程计价定额</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等有关文件规定及招标人提供的工程量清单。</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12.3.2计量周期</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按月进行，每月的 25日前提交本月已完工程量报告及相关形象进度资料。如承包人未按时报送工程量，影响工程款支付的，由承包人自行负责。</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12.3.3单价合同的计量</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12.3.4总价合同的计量</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12.3.5总价合同采用支付分解表计量支付的，是否适用第12.3.4项〔总价合同的计量〕约定进行计量：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12.3.6其他价格形式合同的计量</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line="360"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12.4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工程进度款支付</w:t>
      </w:r>
      <w:r/>
    </w:p>
    <w:p>
      <w:pPr>
        <w:ind w:left="0" w:righ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bookmarkStart w:id="212" w:name="_Toc296503211"/>
      <w:r/>
      <w:bookmarkStart w:id="213" w:name="_Toc296346712"/>
      <w:r/>
      <w:bookmarkStart w:id="214" w:name="_Toc296347210"/>
      <w:r/>
      <w:bookmarkStart w:id="215" w:name="_Toc292559921"/>
      <w:r/>
      <w:bookmarkStart w:id="216" w:name="_Toc297048397"/>
      <w:r/>
      <w:bookmarkStart w:id="217" w:name="_Toc303539163"/>
      <w:r/>
      <w:bookmarkStart w:id="218" w:name="_Toc296944550"/>
      <w:r/>
      <w:bookmarkStart w:id="219" w:name="_Toc296891039"/>
      <w:r/>
      <w:bookmarkStart w:id="220" w:name="_Toc300935006"/>
      <w:r/>
      <w:bookmarkStart w:id="221" w:name="_Toc297123556"/>
      <w:r/>
      <w:bookmarkStart w:id="222" w:name="_Toc297216215"/>
      <w:r/>
      <w:bookmarkStart w:id="223" w:name="_Toc296891251"/>
      <w:r/>
      <w:bookmarkStart w:id="224" w:name="_Toc297120511"/>
      <w:r/>
      <w:bookmarkStart w:id="225" w:name="_Toc292559416"/>
      <w:r>
        <w:rPr>
          <w:rFonts w:hint="eastAsia" w:ascii="宋体" w:hAnsi="宋体" w:eastAsia="宋体" w:cs="宋体"/>
          <w:color w:val="auto"/>
          <w:sz w:val="24"/>
          <w:szCs w:val="24"/>
          <w:highlight w:val="none"/>
        </w:rPr>
        <w:t xml:space="preserve">12.4.1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付款周期</w:t>
      </w:r>
      <w:r/>
    </w:p>
    <w:p>
      <w:pPr>
        <w:pStyle w:val="1000"/>
        <w:ind w:right="0" w:firstLine="480"/>
        <w:keepLines w:val="0"/>
        <w:keepNext w:val="0"/>
        <w:pageBreakBefore w:val="0"/>
        <w:spacing w:line="360" w:lineRule="auto"/>
        <w:widowControl w:val="off"/>
        <w:tabs>
          <w:tab w:val="left" w:pos="294"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关于付款周期的约定：</w:t>
      </w:r>
      <w:r/>
    </w:p>
    <w:p>
      <w:pPr>
        <w:ind w:left="0" w:right="0" w:firstLine="420"/>
        <w:jc w:val="both"/>
        <w:keepLines w:val="0"/>
        <w:keepNext w:val="0"/>
        <w:pageBreakBefore w:val="0"/>
        <w:spacing w:before="0"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合同价款的百分之三十(30%) 即￥</w:t>
      </w:r>
      <w:r>
        <w:rPr>
          <w:rFonts w:ascii="宋体" w:hAnsi="宋体" w:eastAsia="仿宋" w:cs="宋体"/>
          <w:b/>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仿宋" w:cs="宋体"/>
          <w:b/>
          <w:color w:val="auto"/>
          <w:sz w:val="24"/>
          <w:highlight w:val="none"/>
          <w:u w:val="single"/>
        </w:rPr>
        <w:t xml:space="preserve">    </w:t>
      </w:r>
      <w:r>
        <w:rPr>
          <w:rFonts w:ascii="宋体" w:hAnsi="宋体" w:eastAsia="宋体" w:cs="宋体"/>
          <w:color w:val="auto"/>
          <w:sz w:val="24"/>
          <w:highlight w:val="none"/>
        </w:rPr>
        <w:t xml:space="preserve">元整，在双方签订合同15个工作日后且乙方提供对应金额的增值税发票后，由甲方办理政府采购资金结算手续，经审核后支付给乙方。</w:t>
      </w:r>
      <w:r/>
    </w:p>
    <w:p>
      <w:pPr>
        <w:ind w:left="0" w:right="0" w:firstLine="420"/>
        <w:jc w:val="both"/>
        <w:keepLines w:val="0"/>
        <w:keepNext w:val="0"/>
        <w:pageBreakBefore w:val="0"/>
        <w:spacing w:before="0"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付至审计价款的（100%）即￥</w:t>
      </w:r>
      <w:r>
        <w:rPr>
          <w:rFonts w:ascii="宋体" w:hAnsi="宋体" w:eastAsia="仿宋" w:cs="宋体"/>
          <w:b/>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仿宋" w:cs="宋体"/>
          <w:b/>
          <w:color w:val="auto"/>
          <w:sz w:val="24"/>
          <w:highlight w:val="none"/>
          <w:u w:val="single"/>
        </w:rPr>
        <w:t xml:space="preserve">    </w:t>
      </w:r>
      <w:r>
        <w:rPr>
          <w:rFonts w:ascii="宋体" w:hAnsi="宋体" w:eastAsia="宋体" w:cs="宋体"/>
          <w:color w:val="auto"/>
          <w:sz w:val="24"/>
          <w:highlight w:val="none"/>
        </w:rPr>
        <w:t xml:space="preserve">元整， 审计结束后15日内，并将竣工结算资料报送采购人后，余款一次性付清。</w:t>
      </w:r>
      <w:r/>
    </w:p>
    <w:p>
      <w:pPr>
        <w:ind w:left="0" w:right="0" w:firstLine="420"/>
        <w:jc w:val="both"/>
        <w:keepLines w:val="0"/>
        <w:keepNext w:val="0"/>
        <w:pageBreakBefore w:val="0"/>
        <w:spacing w:before="0" w:line="360" w:lineRule="auto"/>
        <w:rPr>
          <w:rFonts w:hint="eastAsia" w:asciiTheme="minorEastAsia" w:hAnsiTheme="minorEastAsia" w:eastAsiaTheme="minorEastAsia" w:cstheme="minorEastAsia"/>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p>
    <w:p>
      <w:pPr>
        <w:ind w:left="0" w:righ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12.4.2进度付款申请单的编制</w:t>
      </w:r>
      <w:r/>
    </w:p>
    <w:p>
      <w:pPr>
        <w:ind w:left="0" w:righ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Pr>
          <w:rFonts w:hint="eastAsia" w:ascii="宋体" w:hAnsi="宋体" w:eastAsia="宋体" w:cs="宋体"/>
          <w:color w:val="auto"/>
          <w:sz w:val="24"/>
          <w:szCs w:val="24"/>
          <w:highlight w:val="none"/>
        </w:rPr>
        <w:t xml:space="preserve">2.4.3进度付款申请单的提交</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12.4.4进度款审核和支付</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b w:val="0"/>
          <w:bCs w:val="0"/>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支付分解表的编制</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226" w:name="_Toc296891047"/>
      <w:r/>
      <w:bookmarkStart w:id="227" w:name="_Toc312678053"/>
      <w:r/>
      <w:bookmarkStart w:id="228" w:name="_Toc296346720"/>
      <w:r/>
      <w:bookmarkStart w:id="229" w:name="_Toc296347218"/>
      <w:r/>
      <w:bookmarkStart w:id="230" w:name="_Toc351203645"/>
      <w:r/>
      <w:bookmarkStart w:id="231" w:name="_Toc303539172"/>
      <w:r/>
      <w:bookmarkStart w:id="232" w:name="_Toc292559424"/>
      <w:r/>
      <w:bookmarkStart w:id="233" w:name="_Toc296503219"/>
      <w:r/>
      <w:bookmarkStart w:id="234" w:name="_Toc297216223"/>
      <w:r/>
      <w:bookmarkStart w:id="235" w:name="_Toc296891259"/>
      <w:r/>
      <w:bookmarkStart w:id="236" w:name="_Toc297123564"/>
      <w:r/>
      <w:bookmarkStart w:id="237" w:name="_Toc297120519"/>
      <w:r/>
      <w:bookmarkStart w:id="238" w:name="_Toc292559929"/>
      <w:r/>
      <w:bookmarkStart w:id="239" w:name="_Toc296944558"/>
      <w:r/>
      <w:bookmarkStart w:id="240" w:name="_Toc300935015"/>
      <w:r/>
      <w:bookmarkStart w:id="241" w:name="_Toc304295593"/>
      <w:r/>
      <w:bookmarkStart w:id="242" w:name="_Toc297048405"/>
      <w:r>
        <w:rPr>
          <w:rFonts w:hint="eastAsia" w:ascii="宋体" w:hAnsi="宋体" w:eastAsia="宋体" w:cs="宋体"/>
          <w:b/>
          <w:bCs/>
          <w:color w:val="auto"/>
          <w:sz w:val="24"/>
          <w:szCs w:val="24"/>
          <w:highlight w:val="none"/>
        </w:rPr>
        <w:t xml:space="preserve">13.验收和工程试车</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13.1分部分项工程验收</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小时提交书面延期要求。</w:t>
      </w:r>
      <w:r/>
    </w:p>
    <w:p>
      <w:pPr>
        <w:ind w:left="0" w:right="0" w:firstLine="480"/>
        <w:jc w:val="left"/>
        <w:keepLines w:val="0"/>
        <w:keepNext w:val="0"/>
        <w:pageBreakBefore w:val="0"/>
        <w:spacing w:after="0" w:line="324" w:lineRule="auto"/>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bookmarkStart w:id="243" w:name="_Toc297120523"/>
      <w:r/>
      <w:bookmarkStart w:id="244" w:name="_Toc296891051"/>
      <w:r/>
      <w:bookmarkStart w:id="245" w:name="_Toc296503223"/>
      <w:r/>
      <w:bookmarkStart w:id="246" w:name="_Toc297216224"/>
      <w:r/>
      <w:bookmarkStart w:id="247" w:name="_Toc292559933"/>
      <w:r/>
      <w:bookmarkStart w:id="248" w:name="_Toc296891263"/>
      <w:r/>
      <w:bookmarkStart w:id="249" w:name="_Toc312678056"/>
      <w:r/>
      <w:bookmarkStart w:id="250" w:name="_Toc296347222"/>
      <w:r/>
      <w:bookmarkStart w:id="251" w:name="_Toc296944562"/>
      <w:r/>
      <w:bookmarkStart w:id="252" w:name="_Toc297123565"/>
      <w:r/>
      <w:bookmarkStart w:id="253" w:name="_Toc296346724"/>
      <w:r/>
      <w:bookmarkStart w:id="254" w:name="_Toc292559428"/>
      <w:r/>
      <w:bookmarkStart w:id="255" w:name="_Toc297048409"/>
      <w:r/>
      <w:bookmarkStart w:id="256" w:name="_Toc304295596"/>
      <w:r/>
      <w:bookmarkStart w:id="257" w:name="_Toc300935016"/>
      <w:r/>
      <w:bookmarkStart w:id="258" w:name="_Toc303539173"/>
      <w:r/>
      <w:bookmarkStart w:id="259" w:name="_Toc267251470"/>
      <w:r/>
      <w:bookmarkStart w:id="260" w:name="_Toc267251473"/>
      <w:r/>
      <w:bookmarkStart w:id="261" w:name="_Toc267251471"/>
      <w:r/>
      <w:bookmarkStart w:id="262" w:name="_Toc267251475"/>
      <w:r/>
      <w:bookmarkStart w:id="263" w:name="_Toc267251472"/>
      <w:r/>
      <w:bookmarkStart w:id="264" w:name="_Toc267251476"/>
      <w:r/>
      <w:bookmarkStart w:id="265" w:name="_Toc267251474"/>
      <w:r>
        <w:rPr>
          <w:rFonts w:hint="eastAsia" w:ascii="宋体" w:hAnsi="宋体" w:eastAsia="宋体" w:cs="宋体"/>
          <w:color w:val="auto"/>
          <w:sz w:val="24"/>
          <w:szCs w:val="24"/>
          <w:highlight w:val="none"/>
        </w:rPr>
        <w:t xml:space="preserve">13.2竣工验收</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bookmarkStart w:id="266" w:name="_Toc280868704"/>
      <w:r/>
      <w:bookmarkStart w:id="267" w:name="_Toc280868705"/>
      <w:r/>
      <w:bookmarkStart w:id="268" w:name="_Toc280868706"/>
      <w:r/>
      <w:bookmarkStart w:id="269" w:name="_Toc280868707"/>
      <w:r/>
      <w:bookmarkStart w:id="270" w:name="_Toc280868708"/>
      <w:r/>
      <w:bookmarkStart w:id="271" w:name="_Toc280868709"/>
      <w:r>
        <w:rPr>
          <w:rFonts w:hint="eastAsia" w:ascii="宋体" w:hAnsi="宋体" w:eastAsia="宋体" w:cs="宋体"/>
          <w:color w:val="auto"/>
          <w:sz w:val="24"/>
          <w:szCs w:val="24"/>
          <w:highlight w:val="none"/>
        </w:rPr>
        <w:t xml:space="preserve">13.2.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竣工验收程序</w:t>
      </w:r>
      <w:bookmarkEnd w:id="266"/>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End w:id="267"/>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移交、接收全部与部分工程</w:t>
      </w:r>
      <w:bookmarkEnd w:id="268"/>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bookmarkEnd w:id="269"/>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b w:val="0"/>
          <w:bCs w:val="0"/>
          <w:color w:val="auto"/>
          <w:sz w:val="24"/>
          <w:szCs w:val="24"/>
          <w:highlight w:val="none"/>
          <w:u w:val="single"/>
          <w:lang w:val="en-US" w:eastAsia="zh-CN"/>
        </w:rPr>
        <w:t xml:space="preserve"> 每延迟一天承包人应向发包人支付合同价的百分之一的违约金 </w:t>
      </w:r>
      <w:r>
        <w:rPr>
          <w:rFonts w:hint="eastAsia" w:ascii="宋体" w:hAnsi="宋体" w:eastAsia="宋体" w:cs="宋体"/>
          <w:b w:val="0"/>
          <w:bCs w:val="0"/>
          <w:color w:val="auto"/>
          <w:sz w:val="24"/>
          <w:szCs w:val="24"/>
          <w:highlight w:val="none"/>
          <w:u w:val="single"/>
        </w:rPr>
        <w:t xml:space="preserve">。</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13.3工程试车</w:t>
      </w:r>
      <w:bookmarkEnd w:id="270"/>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13.3.1试车程序</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承担；</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承担。</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13.3.3投料试车</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13.6竣工退场</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13.6.1竣工退场</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竣工验收合格后7日内</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272" w:name="_Toc351203646"/>
      <w:r>
        <w:rPr>
          <w:rFonts w:hint="eastAsia" w:ascii="宋体" w:hAnsi="宋体" w:eastAsia="宋体" w:cs="宋体"/>
          <w:b/>
          <w:bCs/>
          <w:color w:val="auto"/>
          <w:sz w:val="24"/>
          <w:szCs w:val="24"/>
          <w:highlight w:val="none"/>
        </w:rPr>
        <w:t xml:space="preserve">14.竣工结算</w:t>
      </w:r>
      <w:bookmarkEnd w:id="272"/>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14.1竣工结算申请</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工程竣工验收报告及竣工资料经发包人认可后28天内。</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工程验收合格证书、工程移交单、工程竣工图（施工、设计、监理等单位签字盖章）、工程结算书（含现场签证）、接收甲供材料数量一览表并附相关凭证（含供货单位、</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、监理单位签字盖章）、工程中标通知书（复印件）、工程投标书及其附件和其它报财政评审需要的资料，一式肆份。</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14.2竣工结算审核</w:t>
      </w:r>
      <w:r/>
    </w:p>
    <w:p>
      <w:pPr>
        <w:ind w:left="0" w:right="0" w:firstLine="480"/>
        <w:keepLines w:val="0"/>
        <w:keepNext w:val="0"/>
        <w:pageBreakBefore w:val="0"/>
        <w:spacing w:after="0" w:line="324"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发包人自接到承包人递交的完整真实的结算资料28天内按照合同约定的合同价款及合同价款调整办法及调整因素，进行工程竣工结算。承包人在上述时间内应积极配合发包人及审计部门的审核，若承包人不配合，或双方存在争议的，审计时间相应顺延。</w:t>
      </w:r>
      <w:r>
        <w:rPr>
          <w:rFonts w:hint="eastAsia" w:ascii="宋体" w:hAnsi="宋体" w:eastAsia="宋体" w:cs="宋体"/>
          <w:bCs/>
          <w:color w:val="auto"/>
          <w:sz w:val="24"/>
          <w:szCs w:val="24"/>
          <w:highlight w:val="none"/>
          <w:u w:val="single"/>
        </w:rPr>
        <w:t xml:space="preserve">承包人的竣工结算送审报告应客观且符合实际</w:t>
      </w:r>
      <w:r>
        <w:rPr>
          <w:rFonts w:hint="eastAsia" w:ascii="宋体" w:hAnsi="宋体" w:eastAsia="宋体" w:cs="宋体"/>
          <w:bCs/>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在终审结束后28日内</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14.4最终结清</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14.4.1最终结清申请单</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一式陆份</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验收合格后28内</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14.4.2最终结清证书和支付</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b w:val="0"/>
          <w:bCs w:val="0"/>
          <w:color w:val="auto"/>
          <w:sz w:val="24"/>
          <w:szCs w:val="24"/>
          <w:highlight w:val="none"/>
          <w:u w:val="single"/>
          <w:lang w:val="en-US" w:eastAsia="zh-CN"/>
        </w:rPr>
        <w:t xml:space="preserve"> 收到承包人提交的最终结清申请单后15日内。</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b w:val="0"/>
          <w:bCs w:val="0"/>
          <w:color w:val="auto"/>
          <w:sz w:val="24"/>
          <w:szCs w:val="24"/>
          <w:highlight w:val="none"/>
          <w:u w:val="single"/>
          <w:lang w:val="en-US" w:eastAsia="zh-CN"/>
        </w:rPr>
        <w:t xml:space="preserve"> 最终结清申请单的审批结束后15个工作日内</w:t>
      </w:r>
      <w:r>
        <w:rPr>
          <w:rFonts w:hint="eastAsia" w:ascii="宋体" w:hAnsi="宋体" w:eastAsia="宋体" w:cs="宋体"/>
          <w:b w:val="0"/>
          <w:bCs w:val="0"/>
          <w:color w:val="auto"/>
          <w:sz w:val="24"/>
          <w:szCs w:val="24"/>
          <w:highlight w:val="none"/>
          <w:u w:val="single"/>
        </w:rPr>
        <w:t xml:space="preserve">。</w:t>
      </w:r>
      <w:bookmarkEnd w:id="259"/>
      <w:r/>
      <w:bookmarkEnd w:id="260"/>
      <w:r/>
      <w:bookmarkEnd w:id="261"/>
      <w:r/>
      <w:bookmarkEnd w:id="262"/>
      <w:r/>
      <w:bookmarkEnd w:id="263"/>
      <w:r/>
      <w:bookmarkEnd w:id="264"/>
      <w:r/>
      <w:bookmarkEnd w:id="265"/>
      <w:r/>
      <w:bookmarkEnd w:id="271"/>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273" w:name="_Toc351203647"/>
      <w:r/>
      <w:bookmarkStart w:id="274" w:name="_Toc267251483"/>
      <w:r/>
      <w:bookmarkStart w:id="275" w:name="_Toc267251484"/>
      <w:r/>
      <w:bookmarkStart w:id="276" w:name="_Toc267251482"/>
      <w:r/>
      <w:bookmarkStart w:id="277" w:name="_Toc267251485"/>
      <w:r/>
      <w:bookmarkStart w:id="278" w:name="_Toc267251490"/>
      <w:r/>
      <w:bookmarkStart w:id="279" w:name="_Toc267251486"/>
      <w:r/>
      <w:bookmarkStart w:id="280" w:name="_Toc267251489"/>
      <w:r/>
      <w:bookmarkStart w:id="281" w:name="_Toc267251488"/>
      <w:r/>
      <w:bookmarkStart w:id="282" w:name="_Toc267251503"/>
      <w:r/>
      <w:bookmarkStart w:id="283" w:name="_Toc267251496"/>
      <w:r/>
      <w:bookmarkStart w:id="284" w:name="_Toc267251491"/>
      <w:r/>
      <w:bookmarkStart w:id="285" w:name="_Toc267251501"/>
      <w:r/>
      <w:bookmarkStart w:id="286" w:name="_Toc267251495"/>
      <w:r/>
      <w:bookmarkStart w:id="287" w:name="_Toc267251502"/>
      <w:r/>
      <w:bookmarkStart w:id="288" w:name="_Toc267251492"/>
      <w:r/>
      <w:bookmarkStart w:id="289" w:name="_Toc267251499"/>
      <w:r/>
      <w:bookmarkStart w:id="290" w:name="_Toc267251497"/>
      <w:r/>
      <w:bookmarkStart w:id="291" w:name="_Toc267251498"/>
      <w:r/>
      <w:bookmarkStart w:id="292" w:name="_Toc267251493"/>
      <w:r/>
      <w:bookmarkStart w:id="293" w:name="_Toc267251494"/>
      <w:r/>
      <w:bookmarkStart w:id="294" w:name="_Toc267251504"/>
      <w:r/>
      <w:bookmarkStart w:id="295" w:name="_Toc267251506"/>
      <w:r/>
      <w:bookmarkStart w:id="296" w:name="_Toc267251507"/>
      <w:r/>
      <w:bookmarkStart w:id="297" w:name="_Toc267251508"/>
      <w:r/>
      <w:bookmarkStart w:id="298" w:name="_Toc267251510"/>
      <w:r/>
      <w:bookmarkStart w:id="299" w:name="_Toc267251514"/>
      <w:r/>
      <w:bookmarkStart w:id="300" w:name="_Toc267251511"/>
      <w:r/>
      <w:bookmarkStart w:id="301" w:name="_Toc267251513"/>
      <w:r/>
      <w:bookmarkStart w:id="302" w:name="_Toc267251509"/>
      <w:r/>
      <w:bookmarkStart w:id="303" w:name="_Toc267251515"/>
      <w:r>
        <w:rPr>
          <w:rFonts w:hint="eastAsia" w:ascii="宋体" w:hAnsi="宋体" w:eastAsia="宋体" w:cs="宋体"/>
          <w:b/>
          <w:bCs/>
          <w:color w:val="auto"/>
          <w:sz w:val="24"/>
          <w:szCs w:val="24"/>
          <w:highlight w:val="none"/>
        </w:rPr>
        <w:t xml:space="preserve">15.缺陷责任期与保修</w:t>
      </w:r>
      <w:bookmarkEnd w:id="273"/>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缺陷责任期</w:t>
      </w:r>
      <w:bookmarkEnd w:id="274"/>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整体工程竣工验收合格之日起24个月</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质量保证金</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lang w:val="en-US" w:eastAsia="zh-CN"/>
        </w:rPr>
        <w:t xml:space="preserve">不</w:t>
      </w:r>
      <w:r>
        <w:rPr>
          <w:rFonts w:hint="eastAsia" w:ascii="宋体" w:hAnsi="宋体" w:eastAsia="宋体" w:cs="宋体"/>
          <w:color w:val="auto"/>
          <w:sz w:val="24"/>
          <w:szCs w:val="24"/>
          <w:highlight w:val="none"/>
          <w:u w:val="single"/>
        </w:rPr>
        <w:t xml:space="preserve">扣留</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.1承包人提供质量保证金的方式</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种方式：</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的工程款；</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bookmarkEnd w:id="275"/>
      <w:r/>
      <w:bookmarkEnd w:id="276"/>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保修</w:t>
      </w:r>
      <w:bookmarkEnd w:id="277"/>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.1保修责任</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修复通知</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278"/>
      <w:r/>
      <w:bookmarkEnd w:id="279"/>
      <w:r/>
      <w:bookmarkEnd w:id="280"/>
      <w:r/>
      <w:bookmarkEnd w:id="281"/>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304" w:name="_Toc351203648"/>
      <w:r/>
      <w:bookmarkStart w:id="305" w:name="_Toc280868717"/>
      <w:r/>
      <w:bookmarkStart w:id="306" w:name="_Toc280868718"/>
      <w:r>
        <w:rPr>
          <w:rFonts w:hint="eastAsia" w:ascii="宋体" w:hAnsi="宋体" w:eastAsia="宋体" w:cs="宋体"/>
          <w:b/>
          <w:bCs/>
          <w:color w:val="auto"/>
          <w:sz w:val="24"/>
          <w:szCs w:val="24"/>
          <w:highlight w:val="none"/>
        </w:rPr>
        <w:t xml:space="preserve">16.违约</w:t>
      </w:r>
      <w:bookmarkEnd w:id="304"/>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16.1发包人违约</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16.1.1发包人违约的情形</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16.1.2发包人违约的责任</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发包人违约责任的承担方式和计算方法：</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（7）其他：</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16.1.3因发包人违约解除合同</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28</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16.2承包人违约</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16.2.1承包人违约的情形</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16.2.2承包人违约的责任</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由承包人承担全部费用并承担相关法律责任</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16.2.3因承包人违约解除合同</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bookmarkStart w:id="307" w:name="_Toc351203649"/>
      <w:r>
        <w:rPr>
          <w:rFonts w:hint="eastAsia" w:ascii="宋体" w:hAnsi="宋体" w:eastAsia="宋体" w:cs="宋体"/>
          <w:b/>
          <w:bCs/>
          <w:color w:val="auto"/>
          <w:sz w:val="24"/>
          <w:szCs w:val="24"/>
          <w:highlight w:val="none"/>
        </w:rPr>
        <w:t xml:space="preserve">17.不可抗力</w:t>
      </w:r>
      <w:bookmarkEnd w:id="305"/>
      <w:r/>
      <w:bookmarkEnd w:id="307"/>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17.1不可抗力的确认</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因不可抗力解除合同</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天内完成款项的支付。</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308" w:name="_Toc351203650"/>
      <w:r>
        <w:rPr>
          <w:rFonts w:hint="eastAsia" w:ascii="宋体" w:hAnsi="宋体" w:eastAsia="宋体" w:cs="宋体"/>
          <w:b/>
          <w:bCs/>
          <w:color w:val="auto"/>
          <w:sz w:val="24"/>
          <w:szCs w:val="24"/>
          <w:highlight w:val="none"/>
        </w:rPr>
        <w:t xml:space="preserve">18.保险</w:t>
      </w:r>
      <w:bookmarkEnd w:id="306"/>
      <w:r/>
      <w:bookmarkEnd w:id="308"/>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18.1工程保险</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承包人应为其施工现场的全部人员办理意外伤害保险并支付保险费，包括其员工及为履行合同聘请的第三方的人员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其他保险</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通知义务</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309" w:name="_Toc351203651"/>
      <w:r>
        <w:rPr>
          <w:rFonts w:hint="eastAsia" w:ascii="宋体" w:hAnsi="宋体" w:eastAsia="宋体" w:cs="宋体"/>
          <w:b/>
          <w:bCs/>
          <w:color w:val="auto"/>
          <w:sz w:val="24"/>
          <w:szCs w:val="24"/>
          <w:highlight w:val="none"/>
        </w:rPr>
        <w:t xml:space="preserve">20.争议解决</w:t>
      </w:r>
      <w:bookmarkEnd w:id="294"/>
      <w:r/>
      <w:bookmarkEnd w:id="295"/>
      <w:r/>
      <w:bookmarkEnd w:id="309"/>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争</w:t>
      </w:r>
      <w:bookmarkEnd w:id="296"/>
      <w:r>
        <w:rPr>
          <w:rFonts w:hint="eastAsia" w:ascii="宋体" w:hAnsi="宋体" w:eastAsia="宋体" w:cs="宋体"/>
          <w:color w:val="auto"/>
          <w:sz w:val="24"/>
          <w:szCs w:val="24"/>
          <w:highlight w:val="none"/>
        </w:rPr>
        <w:t xml:space="preserve">议评审</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.1争议评审小组的确定</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.2争议评审小组的决定</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仲裁或诉讼</w:t>
      </w:r>
      <w:bookmarkEnd w:id="297"/>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种方式解决：</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（1）向仲裁委员会申请仲裁；</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工程所在地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人民法院起诉。</w:t>
      </w:r>
      <w:bookmarkEnd w:id="298"/>
      <w:r/>
      <w:bookmarkEnd w:id="299"/>
      <w:r/>
      <w:bookmarkEnd w:id="300"/>
      <w:r/>
      <w:bookmarkEnd w:id="301"/>
      <w:r/>
      <w:bookmarkEnd w:id="302"/>
      <w:r/>
      <w:bookmarkEnd w:id="303"/>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.补充条款：</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不在施工范围内的各种原有设施设备及建（构）筑物。如因施工造成损坏，由</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rPr>
        <w:t xml:space="preserve">负责修复。</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应实行农民工劳动用工实名制管理，与招用的农民工书面约定或者通过依法制定的规章制度规定工资支付标准、支付时间、支付方式等内容；</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应当按照有关规定开设农民工工资专用账户，专项用于支付该项目农民工工资，工程完工未拖欠农民工工资的，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公示30日后，方可申请办理注销手续；</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在</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已按约定足额支付工程款后，因</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的拖欠行为未能支付其相关人员工资时,</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又被建设行政主管部门依据《保障农民工工资支付条例》责令先行垫付并实际支付款项之日起，</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有权在其任一期剩余工程款或履约保证金中据实予以扣除；若无法扣除或不足以扣除的，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应在</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实际垫付之日起—日内据实予以返还。否则，</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有权依法追偿。</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若发生上述垫付行为，无论</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从剩余工程款或履约保证金中扣除或依法追偿的,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均自愿按合同总金额的</w:t>
      </w:r>
      <w:r>
        <w:rPr>
          <w:rFonts w:hint="eastAsia" w:ascii="宋体" w:hAnsi="宋体" w:eastAsia="宋体" w:cs="宋体"/>
          <w:b w:val="0"/>
          <w:bCs/>
          <w:color w:val="auto"/>
          <w:sz w:val="24"/>
          <w:szCs w:val="24"/>
          <w:highlight w:val="none"/>
          <w:u w:val="single"/>
          <w:lang w:val="en-US" w:eastAsia="zh-CN"/>
        </w:rPr>
        <w:t xml:space="preserve">30%向发包人支付违约金。</w:t>
      </w:r>
      <w:r>
        <w:rPr>
          <w:rFonts w:hint="eastAsia" w:ascii="宋体" w:hAnsi="宋体" w:eastAsia="宋体" w:cs="宋体"/>
          <w:b w:val="0"/>
          <w:bCs/>
          <w:color w:val="auto"/>
          <w:sz w:val="24"/>
          <w:szCs w:val="24"/>
          <w:highlight w:val="none"/>
          <w:u w:val="single"/>
        </w:rPr>
        <w:t xml:space="preserve">对施工企业予以不良行为记录，并在市建设局网上公布。</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承包人人要对周围环境及各种影响施工的不利因素有充分了解和应对准备，施工期间要自行化解因施工对周围楼房产生影响所造成的矛盾，并做好群众解释工作。因以上矛盾造成的误工，工期不予顺延。</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4）承包方自行办理环保、交管、市政、渣土等部门的相关手续，费用按相关规定执行。</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5）承包方</w:t>
      </w:r>
      <w:r>
        <w:rPr>
          <w:rFonts w:hint="eastAsia" w:ascii="宋体" w:hAnsi="宋体" w:eastAsia="宋体" w:cs="宋体"/>
          <w:b w:val="0"/>
          <w:bCs/>
          <w:color w:val="auto"/>
          <w:sz w:val="24"/>
          <w:szCs w:val="24"/>
          <w:highlight w:val="none"/>
          <w:u w:val="single"/>
          <w:lang w:val="en-US" w:eastAsia="zh-CN"/>
        </w:rPr>
        <w:t xml:space="preserve">采购的工程材料和设备</w:t>
      </w:r>
      <w:r>
        <w:rPr>
          <w:rFonts w:hint="eastAsia" w:ascii="宋体" w:hAnsi="宋体" w:eastAsia="宋体" w:cs="宋体"/>
          <w:b w:val="0"/>
          <w:bCs/>
          <w:color w:val="auto"/>
          <w:sz w:val="24"/>
          <w:szCs w:val="24"/>
          <w:highlight w:val="none"/>
          <w:u w:val="single"/>
        </w:rPr>
        <w:t xml:space="preserve">，采购前报发包方确认，进场时须提供产品合格证、质量保证书、检测报告等材料进场报验相关资料，验收合格后方可安装。检测或验收不合格，货物无条件退场，由此造成的损失自负。</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7</w:t>
      </w:r>
      <w:r>
        <w:rPr>
          <w:rFonts w:hint="eastAsia" w:ascii="宋体" w:hAnsi="宋体" w:eastAsia="宋体" w:cs="宋体"/>
          <w:b w:val="0"/>
          <w:bCs/>
          <w:color w:val="auto"/>
          <w:sz w:val="24"/>
          <w:szCs w:val="24"/>
          <w:highlight w:val="none"/>
          <w:u w:val="single"/>
        </w:rPr>
        <w:t xml:space="preserve">）承包人不得虚报工程量和冒算，工程审减额若超过送审额的7%以上（不含7%），超出部分按审减额5%给予处罚。工程结算审计费用皆由承包人承担。</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val="en-US" w:eastAsia="zh-CN"/>
        </w:rPr>
        <w:t xml:space="preserve">（8</w:t>
      </w:r>
      <w:r>
        <w:rPr>
          <w:rFonts w:hint="eastAsia" w:ascii="宋体" w:hAnsi="宋体" w:eastAsia="宋体" w:cs="宋体"/>
          <w:b w:val="0"/>
          <w:bCs/>
          <w:color w:val="auto"/>
          <w:sz w:val="24"/>
          <w:szCs w:val="24"/>
          <w:highlight w:val="none"/>
          <w:u w:val="single"/>
        </w:rPr>
        <w:t xml:space="preserve">）承包人不按发包人要求参加施工期间各种会议的，每人次扣款500元，迟到的每人次扣款300元。</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val="en-US" w:eastAsia="zh-CN"/>
        </w:rPr>
        <w:t xml:space="preserve">（9）</w:t>
      </w:r>
      <w:r>
        <w:rPr>
          <w:rFonts w:hint="eastAsia" w:ascii="宋体" w:hAnsi="宋体" w:eastAsia="宋体" w:cs="宋体"/>
          <w:b w:val="0"/>
          <w:bCs/>
          <w:color w:val="auto"/>
          <w:sz w:val="24"/>
          <w:szCs w:val="24"/>
          <w:highlight w:val="none"/>
          <w:u w:val="single"/>
        </w:rPr>
        <w:t xml:space="preserve">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rPr>
        <w:t xml:space="preserve">(a)宴请或以其它方式提供消费的，按5,000元/次 。</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rPr>
        <w:t xml:space="preserve">(b)所送礼品、现金、有价证券等，价值在5,000元以下的，按50,000元/次 。</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rPr>
        <w:t xml:space="preserve">(c)所送礼品、现金、有价证券等，价值在5,000元以上的，按标段总造价的5%/次 。</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val="en-US" w:eastAsia="zh-CN"/>
        </w:rPr>
        <w:t xml:space="preserve">（10）</w:t>
      </w:r>
      <w:r>
        <w:rPr>
          <w:rFonts w:hint="eastAsia" w:ascii="宋体" w:hAnsi="宋体" w:eastAsia="宋体" w:cs="宋体"/>
          <w:b w:val="0"/>
          <w:bCs/>
          <w:color w:val="auto"/>
          <w:sz w:val="24"/>
          <w:szCs w:val="24"/>
          <w:highlight w:val="none"/>
          <w:u w:val="single"/>
        </w:rPr>
        <w:t xml:space="preserve">农忙季节不得停工。</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val="en-US" w:eastAsia="zh-CN"/>
        </w:rPr>
        <w:t xml:space="preserve">（11）</w:t>
      </w:r>
      <w:r>
        <w:rPr>
          <w:rFonts w:hint="eastAsia" w:ascii="宋体" w:hAnsi="宋体" w:eastAsia="宋体" w:cs="宋体"/>
          <w:b w:val="0"/>
          <w:bCs/>
          <w:color w:val="auto"/>
          <w:sz w:val="24"/>
          <w:szCs w:val="24"/>
          <w:highlight w:val="none"/>
          <w:u w:val="single"/>
        </w:rPr>
        <w:t xml:space="preserve">合同备案时，社会保障费由承包人缴付。</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val="en-US" w:eastAsia="zh-CN"/>
        </w:rPr>
        <w:t xml:space="preserve">（12）</w:t>
      </w:r>
      <w:r>
        <w:rPr>
          <w:rFonts w:hint="eastAsia" w:ascii="宋体" w:hAnsi="宋体" w:eastAsia="宋体" w:cs="宋体"/>
          <w:b w:val="0"/>
          <w:bCs/>
          <w:color w:val="auto"/>
          <w:sz w:val="24"/>
          <w:szCs w:val="24"/>
          <w:highlight w:val="none"/>
          <w:u w:val="single"/>
        </w:rPr>
        <w:t xml:space="preserve">施工过程中，承包人无条件配合发包人处理周围相关事宜。</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14</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对放线验线、关键工序、主要原材料，发包人有权请权威机构或部门进行复核或检验，复核或检验结果合格则发包人承担相应费用；如不合格则承包人承担相应费用及造成的一切损失。</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15</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16</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17</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承包人收到设计施工图后，应在10天内做出详细的施工组织设计，报总监及发包人审批；施工组织设计应包括施工进度计划、总包的范围及交叉施工部署、施工方案、工艺与措施、设备材料进</w:t>
      </w:r>
      <w:r>
        <w:rPr>
          <w:rFonts w:hint="eastAsia" w:ascii="宋体" w:hAnsi="宋体" w:eastAsia="宋体" w:cs="宋体"/>
          <w:b w:val="0"/>
          <w:bCs/>
          <w:color w:val="auto"/>
          <w:sz w:val="24"/>
          <w:szCs w:val="24"/>
          <w:highlight w:val="none"/>
          <w:u w:val="single"/>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施工期间，承包人不得辱骂、殴打、威胁发包人、监理人及跟踪审计人员，如若发生将支付发包人1万元/次的违约金，停止支付工程款，并追究其法律责任，直至承包人向发包人保证此类事件不再发生。</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20</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保修期内因承包人原因造成的工程质量问题给发包人、业主或他人造成财产损失和人身伤害的，由承包人承担一切责任。</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监理人及发包人有权对承包人的违章现象与安全文明情况进行检查并提出整改意见，承包人接到通知后在规定时间内未采取相应措施进行整改的，发包人将按照现场管理规定进行处罚。</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本合同履行期间，承包人与第三方产生的债权、债务均由承包人自行解决，与发包人无关。</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开工前承包方对施工图纸认真核查，积极配合发包方组织的施工图纸交底及会审工作，指出图纸上任何不符施工常规、惯例或规范之处，以及设计图纸中错、漏、碰问题，并做好各系统管线的综合平衡工作。</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24</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25</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在施工过程中必须配合发包方工期要求并按发包方指令时限完成。</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26</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27</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地方关系、道路施工涉及的交通协调费</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自行考虑，就此项招标人不支付任何费用。</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中标后至施工前间隔期对可能对中标人产生的影响请</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在投标报价时自行考虑。</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30</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应自主考虑在投标报价中，结算时不作调整。</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作为一名有经验的承包商，应预见施工中与综合管线等其他专业施工单位发生的配合工作，请</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自主考虑相关配合费用在本工程投标报价中，招标人不再另行支付，今后按工作需要根据招标人指示处理。</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因承包人自身原因，对同一分项工程连续验收项目达二次验收不合格,发包人将对承包人给予每次壹万元违约金处罚,直至解除本合同。</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对于承包人多次违约，严重影响工程进度和工程质量的，发包方享有单方解除权，解除与承包方的合同，由此产生的所有损失由承包方承担。</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34</w:t>
      </w:r>
      <w:r>
        <w:rPr>
          <w:rFonts w:hint="eastAsia" w:ascii="宋体" w:hAnsi="宋体" w:eastAsia="宋体" w:cs="宋体"/>
          <w:b w:val="0"/>
          <w:bCs/>
          <w:color w:val="auto"/>
          <w:sz w:val="24"/>
          <w:szCs w:val="24"/>
          <w:highlight w:val="none"/>
          <w:u w:val="single"/>
          <w:lang w:eastAsia="zh-CN"/>
        </w:rPr>
        <w:t xml:space="preserve">）承包人</w:t>
      </w:r>
      <w:r>
        <w:rPr>
          <w:rFonts w:hint="eastAsia" w:ascii="宋体" w:hAnsi="宋体" w:eastAsia="宋体" w:cs="宋体"/>
          <w:b w:val="0"/>
          <w:bCs/>
          <w:color w:val="auto"/>
          <w:sz w:val="24"/>
          <w:szCs w:val="24"/>
          <w:highlight w:val="none"/>
          <w:u w:val="single"/>
          <w:lang w:val="en-US" w:eastAsia="zh-CN"/>
        </w:rPr>
        <w:t xml:space="preserve">承诺本工程免费质保期为验收完毕</w:t>
      </w:r>
      <w:r>
        <w:rPr>
          <w:rFonts w:hint="eastAsia" w:ascii="宋体" w:hAnsi="宋体" w:cs="宋体"/>
          <w:b w:val="0"/>
          <w:bCs/>
          <w:color w:val="auto"/>
          <w:sz w:val="24"/>
          <w:szCs w:val="24"/>
          <w:highlight w:val="none"/>
          <w:u w:val="single"/>
          <w:lang w:val="en-US" w:eastAsia="zh-CN"/>
        </w:rPr>
        <w:t xml:space="preserve">后</w:t>
      </w:r>
      <w:r>
        <w:rPr>
          <w:rFonts w:hint="eastAsia" w:ascii="宋体" w:hAnsi="宋体" w:eastAsia="宋体" w:cs="宋体"/>
          <w:b w:val="0"/>
          <w:bCs/>
          <w:color w:val="auto"/>
          <w:sz w:val="24"/>
          <w:szCs w:val="24"/>
          <w:highlight w:val="none"/>
          <w:u w:val="single"/>
          <w:lang w:val="en-US" w:eastAsia="zh-CN"/>
        </w:rPr>
        <w:t xml:space="preserve">6个月内有淤堵、外溢现象，及时解决。</w:t>
      </w:r>
      <w:r>
        <w:rPr>
          <w:rFonts w:hint="eastAsia" w:ascii="宋体" w:hAnsi="宋体" w:eastAsia="宋体" w:cs="宋体"/>
          <w:b w:val="0"/>
          <w:bCs/>
          <w:color w:val="auto"/>
          <w:sz w:val="24"/>
          <w:szCs w:val="24"/>
          <w:highlight w:val="none"/>
          <w:u w:val="single"/>
          <w:lang w:eastAsia="zh-CN"/>
        </w:rPr>
        <w:t xml:space="preserve">在缺陷责任期及保修期内，如未按时到场维修或经过两次（含两次）以上维修，仍未能解决问题或承包人未按要求维修，发包人有权另行委托第三方进行维修，因此而产生的费用将从承包人</w:t>
      </w:r>
      <w:r>
        <w:rPr>
          <w:rFonts w:hint="eastAsia" w:ascii="宋体" w:hAnsi="宋体" w:cs="宋体"/>
          <w:b w:val="0"/>
          <w:bCs/>
          <w:color w:val="auto"/>
          <w:sz w:val="24"/>
          <w:szCs w:val="24"/>
          <w:highlight w:val="none"/>
          <w:u w:val="single"/>
          <w:lang w:val="en-US" w:eastAsia="zh-CN"/>
        </w:rPr>
        <w:t xml:space="preserve">履约</w:t>
      </w:r>
      <w:r>
        <w:rPr>
          <w:rFonts w:hint="eastAsia" w:ascii="宋体" w:hAnsi="宋体" w:eastAsia="宋体" w:cs="宋体"/>
          <w:b w:val="0"/>
          <w:bCs/>
          <w:color w:val="auto"/>
          <w:sz w:val="24"/>
          <w:szCs w:val="24"/>
          <w:highlight w:val="none"/>
          <w:u w:val="single"/>
          <w:lang w:eastAsia="zh-CN"/>
        </w:rPr>
        <w:t xml:space="preserve">保证金中双倍扣除，超支部分由承包人承担。缺陷责任期及保修期内因工程质量问题给发包人、业主或他人造成财产损失和人身伤害的，由承包人承担一切责任。</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val="en-US" w:eastAsia="zh-CN" w:bidi="ar-SA"/>
        </w:rPr>
        <w:t xml:space="preserve">（35）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val="en-US" w:eastAsia="zh-CN" w:bidi="ar-SA"/>
        </w:rPr>
        <w:t xml:space="preserve">（36）除本合同另有约定外，承包人存在其他违约行为的，应按签约合同价格的10%向发包人承担违约责任。</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val="en-US" w:eastAsia="zh-CN" w:bidi="ar-SA"/>
        </w:rPr>
        <w:t xml:space="preserve">（37）承包人因违约需支付的违约金或赔偿损失的，发包人有权从任何一期应付款项中予以扣除。</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val="en-US" w:eastAsia="zh-CN" w:bidi="ar-SA"/>
        </w:rPr>
        <w:t xml:space="preserve">（38）因承包人违约的，发包人向承包人主张权利所产生的费用包括但不限于诉讼费、保全费、保单费、律师费差旅费等亦由承包人承担。</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发承包双方如在本合同的执行过程中，还有需要补充及修正的内容，应在遵循《中华人民共和国建筑法》和《中华人民共和国民法典》及其他有关法律、法规</w:t>
      </w:r>
      <w:r>
        <w:rPr>
          <w:rFonts w:hint="eastAsia" w:ascii="宋体" w:hAnsi="宋体" w:cs="宋体"/>
          <w:b w:val="0"/>
          <w:bCs/>
          <w:color w:val="auto"/>
          <w:sz w:val="24"/>
          <w:szCs w:val="24"/>
          <w:highlight w:val="none"/>
          <w:u w:val="single"/>
          <w:lang w:val="en-US" w:eastAsia="zh-CN"/>
        </w:rPr>
        <w:t xml:space="preserve">各</w:t>
      </w:r>
      <w:r>
        <w:rPr>
          <w:rFonts w:hint="eastAsia" w:ascii="宋体" w:hAnsi="宋体" w:eastAsia="宋体" w:cs="宋体"/>
          <w:b w:val="0"/>
          <w:bCs/>
          <w:color w:val="auto"/>
          <w:sz w:val="24"/>
          <w:szCs w:val="24"/>
          <w:highlight w:val="none"/>
          <w:u w:val="single"/>
        </w:rPr>
        <w:t xml:space="preserve">省市有关规定、条例的前提下另行签订补充协议或条款。补充协议或条款与本合同具有相同法律效力。</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（以下无正文）</w:t>
      </w:r>
      <w:r/>
    </w:p>
    <w:p>
      <w:pPr>
        <w:pStyle w:val="1065"/>
        <w:jc w:val="both"/>
        <w:keepLines w:val="0"/>
        <w:keepNext w:val="0"/>
        <w:pageBreakBefore w:val="0"/>
        <w:spacing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066"/>
        <w:keepLines w:val="0"/>
        <w:keepNext w:val="0"/>
        <w:pageBreakBefore w:val="0"/>
        <w:spacing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承包人：(公章)</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法定代表人：（签字）</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法定代表人：（签字）</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p>
    <w:p>
      <w:pPr>
        <w:keepLines w:val="0"/>
        <w:keepNext w:val="0"/>
        <w:pageBreakBefore w:val="0"/>
        <w:spacing w:line="324" w:lineRule="auto"/>
        <w:rPr>
          <w:color w:val="auto"/>
          <w:sz w:val="24"/>
          <w:szCs w:val="24"/>
          <w:highlight w:val="none"/>
        </w:rPr>
        <w:sectPr>
          <w:footnotePr/>
          <w:endnotePr/>
          <w:type w:val="nextPage"/>
          <w:pgSz w:w="11907" w:h="16840" w:orient="portrait"/>
          <w:pgMar w:top="1417" w:right="1701" w:bottom="1417" w:left="1701" w:header="851" w:footer="851" w:gutter="0"/>
          <w:cols w:num="1" w:sep="0" w:space="720" w:equalWidth="1"/>
          <w:docGrid w:linePitch="360"/>
        </w:sectPr>
        <w:outlineLvl w:val="9"/>
      </w:pPr>
      <w:r>
        <w:rPr>
          <w:color w:val="auto"/>
          <w:sz w:val="24"/>
          <w:szCs w:val="24"/>
          <w:highlight w:val="none"/>
        </w:rPr>
      </w:r>
      <w:r/>
    </w:p>
    <w:p>
      <w:pPr>
        <w:spacing w:before="156" w:after="156" w:line="440" w:lineRule="exact"/>
        <w:rPr>
          <w:color w:val="auto"/>
          <w:sz w:val="21"/>
          <w:szCs w:val="21"/>
          <w:highlight w:val="none"/>
        </w:rPr>
      </w:pPr>
      <w:r>
        <w:rPr>
          <w:rFonts w:hint="eastAsia" w:ascii="宋体" w:hAnsi="宋体" w:eastAsia="宋体" w:cs="宋体"/>
          <w:color w:val="auto"/>
          <w:sz w:val="21"/>
          <w:szCs w:val="21"/>
          <w:highlight w:val="none"/>
        </w:rPr>
        <w:t xml:space="preserve">附件1：</w:t>
      </w:r>
      <w:r/>
    </w:p>
    <w:p>
      <w:pPr>
        <w:jc w:val="center"/>
        <w:spacing w:before="156" w:after="156" w:line="440" w:lineRule="exact"/>
        <w:rPr>
          <w:color w:val="auto"/>
          <w:sz w:val="21"/>
          <w:szCs w:val="21"/>
          <w:highlight w:val="none"/>
        </w:rPr>
      </w:pPr>
      <w:r>
        <w:rPr>
          <w:rFonts w:hint="eastAsia" w:ascii="宋体" w:hAnsi="宋体" w:eastAsia="宋体" w:cs="宋体"/>
          <w:color w:val="auto"/>
          <w:sz w:val="21"/>
          <w:szCs w:val="21"/>
          <w:highlight w:val="none"/>
        </w:rPr>
        <w:t xml:space="preserve">承包人承揽工程项目一览表</w:t>
      </w:r>
      <w:r/>
    </w:p>
    <w:tbl>
      <w:tblPr>
        <w:tblStyle w:val="992"/>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单位工程名称</w:t>
            </w:r>
            <w:r/>
          </w:p>
        </w:tc>
        <w:tc>
          <w:tcPr>
            <w:tcBorders>
              <w:top w:val="single" w:color="auto" w:sz="12" w:space="0"/>
              <w:bottom w:val="single" w:color="auto" w:sz="6" w:space="0"/>
            </w:tcBorders>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建设规模</w:t>
            </w:r>
            <w:r/>
          </w:p>
        </w:tc>
        <w:tc>
          <w:tcPr>
            <w:tcBorders>
              <w:top w:val="single" w:color="auto" w:sz="12" w:space="0"/>
              <w:bottom w:val="single" w:color="auto" w:sz="6"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结构形式</w:t>
            </w:r>
            <w:r/>
          </w:p>
        </w:tc>
        <w:tc>
          <w:tcPr>
            <w:tcBorders>
              <w:top w:val="single" w:color="auto" w:sz="12" w:space="0"/>
              <w:bottom w:val="single" w:color="auto" w:sz="6"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层数</w:t>
            </w:r>
            <w:r/>
          </w:p>
        </w:tc>
        <w:tc>
          <w:tcPr>
            <w:tcBorders>
              <w:top w:val="single" w:color="auto" w:sz="12" w:space="0"/>
              <w:bottom w:val="single" w:color="auto" w:sz="6" w:space="0"/>
            </w:tcBorders>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生产能力</w:t>
            </w:r>
            <w:r/>
          </w:p>
        </w:tc>
        <w:tc>
          <w:tcPr>
            <w:tcBorders>
              <w:top w:val="single" w:color="auto" w:sz="12" w:space="0"/>
              <w:bottom w:val="single" w:color="auto" w:sz="6" w:space="0"/>
            </w:tcBorders>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设备安装内容</w:t>
            </w:r>
            <w:r/>
          </w:p>
        </w:tc>
        <w:tc>
          <w:tcPr>
            <w:tcBorders>
              <w:top w:val="single" w:color="auto" w:sz="12" w:space="0"/>
              <w:bottom w:val="single" w:color="auto" w:sz="6"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合同价格（元）</w:t>
            </w:r>
            <w:r/>
          </w:p>
        </w:tc>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开工日期</w:t>
            </w:r>
            <w:r/>
          </w:p>
        </w:tc>
        <w:tc>
          <w:tcPr>
            <w:tcBorders>
              <w:top w:val="single" w:color="auto" w:sz="12" w:space="0"/>
              <w:bottom w:val="single" w:color="auto" w:sz="6"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67"/>
        </w:trPr>
        <w:tc>
          <w:tcPr>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67"/>
        </w:trPr>
        <w:tc>
          <w:tcPr>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67"/>
        </w:trPr>
        <w:tc>
          <w:tcPr>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bl>
    <w:p>
      <w:pPr>
        <w:spacing w:line="440" w:lineRule="exact"/>
        <w:rPr>
          <w:b/>
          <w:color w:val="auto"/>
          <w:sz w:val="21"/>
          <w:szCs w:val="21"/>
          <w:highlight w:val="none"/>
        </w:rPr>
        <w:sectPr>
          <w:headerReference w:type="default" r:id="rId12"/>
          <w:footerReference w:type="default" r:id="rId19"/>
          <w:footerReference w:type="first" r:id="rId20"/>
          <w:footnotePr/>
          <w:endnotePr/>
          <w:type w:val="nextPage"/>
          <w:pgSz w:w="16838" w:h="11906" w:orient="landscape"/>
          <w:pgMar w:top="1554" w:right="1418" w:bottom="1531" w:left="1418" w:header="851" w:footer="992" w:gutter="0"/>
          <w:cols w:num="1" w:sep="0" w:space="720" w:equalWidth="1"/>
          <w:docGrid w:linePitch="360"/>
          <w:titlePg/>
        </w:sectPr>
      </w:pPr>
      <w:r>
        <w:rPr>
          <w:b/>
          <w:color w:val="auto"/>
          <w:sz w:val="21"/>
          <w:szCs w:val="21"/>
          <w:highlight w:val="none"/>
        </w:rPr>
      </w:r>
      <w:r/>
    </w:p>
    <w:p>
      <w:pPr>
        <w:spacing w:line="440" w:lineRule="exact"/>
        <w:rPr>
          <w:color w:val="auto"/>
          <w:sz w:val="21"/>
          <w:szCs w:val="21"/>
          <w:highlight w:val="none"/>
        </w:rPr>
      </w:pPr>
      <w:r>
        <w:rPr>
          <w:rFonts w:hint="eastAsia" w:ascii="宋体" w:hAnsi="宋体" w:eastAsia="宋体" w:cs="宋体"/>
          <w:color w:val="auto"/>
          <w:sz w:val="21"/>
          <w:szCs w:val="21"/>
          <w:highlight w:val="none"/>
        </w:rPr>
        <w:t xml:space="preserve">附</w:t>
      </w:r>
      <w:bookmarkStart w:id="310" w:name="_Toc296891053"/>
      <w:r/>
      <w:bookmarkStart w:id="311" w:name="_Toc296347224"/>
      <w:r/>
      <w:bookmarkStart w:id="312" w:name="_Toc296503225"/>
      <w:r/>
      <w:bookmarkStart w:id="313" w:name="_Toc267261692"/>
      <w:r/>
      <w:bookmarkStart w:id="314" w:name="_Toc296346726"/>
      <w:r/>
      <w:bookmarkStart w:id="315" w:name="_Toc296891265"/>
      <w:r/>
      <w:bookmarkStart w:id="316" w:name="_Toc296944564"/>
      <w:r>
        <w:rPr>
          <w:rFonts w:hint="eastAsia" w:ascii="宋体" w:hAnsi="宋体" w:eastAsia="宋体" w:cs="宋体"/>
          <w:color w:val="auto"/>
          <w:sz w:val="21"/>
          <w:szCs w:val="21"/>
          <w:highlight w:val="none"/>
        </w:rPr>
        <w:t xml:space="preserve">件2：</w:t>
      </w:r>
      <w:bookmarkEnd w:id="310"/>
      <w:r/>
      <w:bookmarkEnd w:id="311"/>
      <w:r/>
      <w:bookmarkEnd w:id="312"/>
      <w:r/>
      <w:bookmarkEnd w:id="313"/>
      <w:r/>
      <w:bookmarkEnd w:id="314"/>
      <w:r/>
      <w:bookmarkEnd w:id="315"/>
      <w:r/>
      <w:bookmarkEnd w:id="316"/>
      <w:r/>
      <w:r/>
    </w:p>
    <w:p>
      <w:pPr>
        <w:jc w:val="center"/>
        <w:spacing w:before="156" w:after="156" w:line="440" w:lineRule="exact"/>
        <w:rPr>
          <w:color w:val="auto"/>
          <w:sz w:val="21"/>
          <w:szCs w:val="21"/>
          <w:highlight w:val="none"/>
        </w:rPr>
      </w:pPr>
      <w:r>
        <w:rPr>
          <w:rFonts w:hint="eastAsia" w:ascii="宋体" w:hAnsi="宋体" w:eastAsia="宋体" w:cs="宋体"/>
          <w:color w:val="auto"/>
          <w:sz w:val="21"/>
          <w:szCs w:val="21"/>
          <w:highlight w:val="none"/>
        </w:rPr>
        <w:t xml:space="preserve">发包人供应材料设备一览表</w:t>
      </w:r>
      <w:r/>
    </w:p>
    <w:tbl>
      <w:tblPr>
        <w:tblStyle w:val="992"/>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序号</w:t>
            </w:r>
            <w:r/>
          </w:p>
        </w:tc>
        <w:tc>
          <w:tcPr>
            <w:tcBorders>
              <w:top w:val="single" w:color="auto" w:sz="12" w:space="0"/>
              <w:bottom w:val="single" w:color="auto" w:sz="6" w:space="0"/>
            </w:tcBorders>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  材料、</w:t>
            </w:r>
            <w:r/>
          </w:p>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设备品种</w:t>
            </w:r>
            <w:r/>
          </w:p>
        </w:tc>
        <w:tc>
          <w:tcPr>
            <w:tcBorders>
              <w:top w:val="single" w:color="auto" w:sz="12" w:space="0"/>
              <w:bottom w:val="single" w:color="auto" w:sz="6" w:space="0"/>
            </w:tcBorders>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规格型号</w:t>
            </w:r>
            <w:r/>
          </w:p>
        </w:tc>
        <w:tc>
          <w:tcPr>
            <w:tcBorders>
              <w:top w:val="single" w:color="auto" w:sz="12" w:space="0"/>
              <w:bottom w:val="single" w:color="auto" w:sz="6" w:space="0"/>
            </w:tcBorders>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单位</w:t>
            </w:r>
            <w:r/>
          </w:p>
        </w:tc>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数量</w:t>
            </w:r>
            <w:r/>
          </w:p>
        </w:tc>
        <w:tc>
          <w:tcPr>
            <w:tcBorders>
              <w:top w:val="single" w:color="auto" w:sz="12" w:space="0"/>
              <w:bottom w:val="single" w:color="auto" w:sz="6" w:space="0"/>
            </w:tcBorders>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单价（元）</w:t>
            </w:r>
            <w:r/>
          </w:p>
        </w:tc>
        <w:tc>
          <w:tcPr>
            <w:tcBorders>
              <w:top w:val="single" w:color="auto" w:sz="12" w:space="0"/>
              <w:bottom w:val="single" w:color="auto" w:sz="6" w:space="0"/>
            </w:tcBorders>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质量等级</w:t>
            </w:r>
            <w:r/>
          </w:p>
        </w:tc>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供应时间</w:t>
            </w:r>
            <w:r/>
          </w:p>
        </w:tc>
        <w:tc>
          <w:tcPr>
            <w:tcBorders>
              <w:top w:val="single" w:color="auto" w:sz="12" w:space="0"/>
              <w:bottom w:val="single" w:color="auto" w:sz="6" w:space="0"/>
            </w:tcBorders>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送达地点</w:t>
            </w:r>
            <w:r/>
          </w:p>
        </w:tc>
        <w:tc>
          <w:tcPr>
            <w:tcBorders>
              <w:top w:val="single" w:color="auto" w:sz="12" w:space="0"/>
              <w:bottom w:val="single" w:color="auto" w:sz="6" w:space="0"/>
            </w:tcBorders>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27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18" w:type="dxa"/>
            <w:vAlign w:val="center"/>
            <w:textDirection w:val="lrTb"/>
            <w:noWrap w:val="false"/>
          </w:tcPr>
          <w:p>
            <w:pPr>
              <w:jc w:val="center"/>
              <w:rPr>
                <w:color w:val="auto"/>
                <w:sz w:val="21"/>
                <w:szCs w:val="21"/>
                <w:highlight w:val="none"/>
              </w:rPr>
            </w:pPr>
            <w:r>
              <w:rPr>
                <w:color w:val="auto"/>
                <w:sz w:val="21"/>
                <w:szCs w:val="21"/>
                <w:highlight w:val="none"/>
              </w:rPr>
            </w:r>
            <w:r/>
          </w:p>
        </w:tc>
        <w:tc>
          <w:tcPr>
            <w:tcW w:w="940"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044"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87"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27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18" w:type="dxa"/>
            <w:vAlign w:val="center"/>
            <w:textDirection w:val="lrTb"/>
            <w:noWrap w:val="false"/>
          </w:tcPr>
          <w:p>
            <w:pPr>
              <w:jc w:val="center"/>
              <w:rPr>
                <w:color w:val="auto"/>
                <w:sz w:val="21"/>
                <w:szCs w:val="21"/>
                <w:highlight w:val="none"/>
              </w:rPr>
            </w:pPr>
            <w:r>
              <w:rPr>
                <w:color w:val="auto"/>
                <w:sz w:val="21"/>
                <w:szCs w:val="21"/>
                <w:highlight w:val="none"/>
              </w:rPr>
            </w:r>
            <w:r/>
          </w:p>
        </w:tc>
        <w:tc>
          <w:tcPr>
            <w:tcW w:w="940"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044"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87"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67"/>
        </w:trPr>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27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18" w:type="dxa"/>
            <w:vAlign w:val="center"/>
            <w:textDirection w:val="lrTb"/>
            <w:noWrap w:val="false"/>
          </w:tcPr>
          <w:p>
            <w:pPr>
              <w:jc w:val="center"/>
              <w:rPr>
                <w:color w:val="auto"/>
                <w:sz w:val="21"/>
                <w:szCs w:val="21"/>
                <w:highlight w:val="none"/>
              </w:rPr>
            </w:pPr>
            <w:r>
              <w:rPr>
                <w:color w:val="auto"/>
                <w:sz w:val="21"/>
                <w:szCs w:val="21"/>
                <w:highlight w:val="none"/>
              </w:rPr>
            </w:r>
            <w:r/>
          </w:p>
        </w:tc>
        <w:tc>
          <w:tcPr>
            <w:tcW w:w="940"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044"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87"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67"/>
        </w:trPr>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27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18" w:type="dxa"/>
            <w:vAlign w:val="center"/>
            <w:textDirection w:val="lrTb"/>
            <w:noWrap w:val="false"/>
          </w:tcPr>
          <w:p>
            <w:pPr>
              <w:jc w:val="center"/>
              <w:rPr>
                <w:color w:val="auto"/>
                <w:sz w:val="21"/>
                <w:szCs w:val="21"/>
                <w:highlight w:val="none"/>
              </w:rPr>
            </w:pPr>
            <w:r>
              <w:rPr>
                <w:color w:val="auto"/>
                <w:sz w:val="21"/>
                <w:szCs w:val="21"/>
                <w:highlight w:val="none"/>
              </w:rPr>
            </w:r>
            <w:r/>
          </w:p>
        </w:tc>
        <w:tc>
          <w:tcPr>
            <w:tcW w:w="940"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044"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87"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67"/>
        </w:trPr>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27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18" w:type="dxa"/>
            <w:vAlign w:val="center"/>
            <w:textDirection w:val="lrTb"/>
            <w:noWrap w:val="false"/>
          </w:tcPr>
          <w:p>
            <w:pPr>
              <w:jc w:val="center"/>
              <w:rPr>
                <w:color w:val="auto"/>
                <w:sz w:val="21"/>
                <w:szCs w:val="21"/>
                <w:highlight w:val="none"/>
              </w:rPr>
            </w:pPr>
            <w:r>
              <w:rPr>
                <w:color w:val="auto"/>
                <w:sz w:val="21"/>
                <w:szCs w:val="21"/>
                <w:highlight w:val="none"/>
              </w:rPr>
            </w:r>
            <w:r/>
          </w:p>
        </w:tc>
        <w:tc>
          <w:tcPr>
            <w:tcW w:w="940"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044"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87"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67"/>
        </w:trPr>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27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18" w:type="dxa"/>
            <w:vAlign w:val="center"/>
            <w:textDirection w:val="lrTb"/>
            <w:noWrap w:val="false"/>
          </w:tcPr>
          <w:p>
            <w:pPr>
              <w:jc w:val="center"/>
              <w:rPr>
                <w:color w:val="auto"/>
                <w:sz w:val="21"/>
                <w:szCs w:val="21"/>
                <w:highlight w:val="none"/>
              </w:rPr>
            </w:pPr>
            <w:r>
              <w:rPr>
                <w:color w:val="auto"/>
                <w:sz w:val="21"/>
                <w:szCs w:val="21"/>
                <w:highlight w:val="none"/>
              </w:rPr>
            </w:r>
            <w:r/>
          </w:p>
        </w:tc>
        <w:tc>
          <w:tcPr>
            <w:tcW w:w="940"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044"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87"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67"/>
        </w:trPr>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27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18" w:type="dxa"/>
            <w:vAlign w:val="center"/>
            <w:textDirection w:val="lrTb"/>
            <w:noWrap w:val="false"/>
          </w:tcPr>
          <w:p>
            <w:pPr>
              <w:jc w:val="center"/>
              <w:rPr>
                <w:color w:val="auto"/>
                <w:sz w:val="21"/>
                <w:szCs w:val="21"/>
                <w:highlight w:val="none"/>
              </w:rPr>
            </w:pPr>
            <w:r>
              <w:rPr>
                <w:color w:val="auto"/>
                <w:sz w:val="21"/>
                <w:szCs w:val="21"/>
                <w:highlight w:val="none"/>
              </w:rPr>
            </w:r>
            <w:r/>
          </w:p>
        </w:tc>
        <w:tc>
          <w:tcPr>
            <w:tcW w:w="940"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044"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87"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67"/>
        </w:trPr>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27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18" w:type="dxa"/>
            <w:vAlign w:val="center"/>
            <w:textDirection w:val="lrTb"/>
            <w:noWrap w:val="false"/>
          </w:tcPr>
          <w:p>
            <w:pPr>
              <w:jc w:val="center"/>
              <w:rPr>
                <w:color w:val="auto"/>
                <w:sz w:val="21"/>
                <w:szCs w:val="21"/>
                <w:highlight w:val="none"/>
              </w:rPr>
            </w:pPr>
            <w:r>
              <w:rPr>
                <w:color w:val="auto"/>
                <w:sz w:val="21"/>
                <w:szCs w:val="21"/>
                <w:highlight w:val="none"/>
              </w:rPr>
            </w:r>
            <w:r/>
          </w:p>
        </w:tc>
        <w:tc>
          <w:tcPr>
            <w:tcW w:w="940"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044"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87"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67"/>
        </w:trPr>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27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18" w:type="dxa"/>
            <w:vAlign w:val="center"/>
            <w:textDirection w:val="lrTb"/>
            <w:noWrap w:val="false"/>
          </w:tcPr>
          <w:p>
            <w:pPr>
              <w:jc w:val="center"/>
              <w:rPr>
                <w:color w:val="auto"/>
                <w:sz w:val="21"/>
                <w:szCs w:val="21"/>
                <w:highlight w:val="none"/>
              </w:rPr>
            </w:pPr>
            <w:r>
              <w:rPr>
                <w:color w:val="auto"/>
                <w:sz w:val="21"/>
                <w:szCs w:val="21"/>
                <w:highlight w:val="none"/>
              </w:rPr>
            </w:r>
            <w:r/>
          </w:p>
        </w:tc>
        <w:tc>
          <w:tcPr>
            <w:tcW w:w="940"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044"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87"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r>
    </w:tbl>
    <w:p>
      <w:pPr>
        <w:spacing w:line="440" w:lineRule="exact"/>
        <w:rPr>
          <w:color w:val="auto"/>
          <w:sz w:val="21"/>
          <w:szCs w:val="21"/>
          <w:highlight w:val="none"/>
        </w:rPr>
      </w:pPr>
      <w:r>
        <w:rPr>
          <w:color w:val="auto"/>
          <w:sz w:val="21"/>
          <w:szCs w:val="21"/>
          <w:highlight w:val="none"/>
        </w:rPr>
      </w:r>
      <w:r/>
    </w:p>
    <w:p>
      <w:pPr>
        <w:spacing w:line="440" w:lineRule="exact"/>
        <w:rPr>
          <w:color w:val="auto"/>
          <w:sz w:val="21"/>
          <w:szCs w:val="21"/>
          <w:highlight w:val="none"/>
        </w:rPr>
      </w:pPr>
      <w:r>
        <w:rPr>
          <w:color w:val="auto"/>
          <w:sz w:val="21"/>
          <w:szCs w:val="21"/>
          <w:highlight w:val="none"/>
        </w:rPr>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附</w:t>
      </w:r>
      <w:bookmarkStart w:id="317" w:name="_Toc296503226"/>
      <w:r/>
      <w:bookmarkStart w:id="318" w:name="_Toc296347225"/>
      <w:r/>
      <w:bookmarkStart w:id="319" w:name="_Toc296891054"/>
      <w:r/>
      <w:bookmarkStart w:id="320" w:name="_Toc296891266"/>
      <w:r/>
      <w:bookmarkStart w:id="321" w:name="_Toc267261693"/>
      <w:r/>
      <w:bookmarkStart w:id="322" w:name="_Toc296346727"/>
      <w:r/>
      <w:bookmarkStart w:id="323" w:name="_Toc296944565"/>
      <w:r>
        <w:rPr>
          <w:rFonts w:hint="eastAsia" w:ascii="宋体" w:hAnsi="宋体" w:eastAsia="宋体" w:cs="宋体"/>
          <w:color w:val="auto"/>
          <w:sz w:val="21"/>
          <w:szCs w:val="21"/>
          <w:highlight w:val="none"/>
        </w:rPr>
        <w:t xml:space="preserve">件3：</w:t>
      </w:r>
      <w:bookmarkEnd w:id="317"/>
      <w:r/>
      <w:bookmarkEnd w:id="318"/>
      <w:r/>
      <w:bookmarkEnd w:id="319"/>
      <w:r/>
      <w:bookmarkEnd w:id="320"/>
      <w:r/>
      <w:bookmarkEnd w:id="321"/>
      <w:r/>
      <w:bookmarkEnd w:id="322"/>
      <w:r/>
      <w:bookmarkEnd w:id="323"/>
      <w:r/>
      <w:r/>
    </w:p>
    <w:p>
      <w:pPr>
        <w:jc w:val="center"/>
        <w:spacing w:before="156" w:after="156" w:line="400" w:lineRule="exact"/>
        <w:rPr>
          <w:color w:val="auto"/>
          <w:sz w:val="21"/>
          <w:szCs w:val="21"/>
          <w:highlight w:val="none"/>
        </w:rPr>
      </w:pPr>
      <w:r>
        <w:rPr>
          <w:rFonts w:hint="eastAsia" w:ascii="宋体" w:hAnsi="宋体" w:eastAsia="宋体" w:cs="宋体"/>
          <w:color w:val="auto"/>
          <w:sz w:val="21"/>
          <w:szCs w:val="21"/>
          <w:highlight w:val="none"/>
        </w:rPr>
        <w:t xml:space="preserve">工程质量保修书</w:t>
      </w:r>
      <w:r/>
    </w:p>
    <w:p>
      <w:pPr>
        <w:ind w:firstLine="400"/>
        <w:spacing w:line="400" w:lineRule="exact"/>
        <w:rPr>
          <w:rFonts w:hint="eastAsia" w:eastAsia="宋体"/>
          <w:color w:val="auto"/>
          <w:sz w:val="21"/>
          <w:szCs w:val="21"/>
          <w:highlight w:val="none"/>
          <w:lang w:eastAsia="zh-CN"/>
        </w:rPr>
      </w:pPr>
      <w:r>
        <w:rPr>
          <w:rFonts w:hint="eastAsia" w:ascii="宋体" w:hAnsi="宋体" w:eastAsia="宋体" w:cs="宋体"/>
          <w:color w:val="auto"/>
          <w:sz w:val="21"/>
          <w:szCs w:val="21"/>
          <w:highlight w:val="none"/>
        </w:rPr>
        <w:t xml:space="preserve">发包人（全称）：</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承包人（全称）：</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发包人和承包人根据《中华人民共和国建筑法》和《建设工程质量管理条例》，经协商一致就</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签订工程质量保修书。</w:t>
      </w:r>
      <w:r/>
    </w:p>
    <w:p>
      <w:pPr>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　　一、工程质量保修范围和内容</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承包人在质量保修期内，按照有关法律规定和合同约定，承担工程质量保修责任。</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u w:val="single"/>
        </w:rPr>
        <w:t xml:space="preserve">施工图设计及变更范围内全部内容</w:t>
      </w:r>
      <w:r>
        <w:rPr>
          <w:rFonts w:hint="eastAsia" w:ascii="宋体" w:hAnsi="宋体" w:eastAsia="宋体" w:cs="宋体"/>
          <w:color w:val="auto"/>
          <w:sz w:val="21"/>
          <w:szCs w:val="21"/>
          <w:highlight w:val="none"/>
        </w:rPr>
        <w:t xml:space="preserve">。</w:t>
      </w:r>
      <w:r/>
    </w:p>
    <w:p>
      <w:pPr>
        <w:spacing w:line="400" w:lineRule="exact"/>
        <w:rPr>
          <w:color w:val="auto"/>
          <w:sz w:val="21"/>
          <w:szCs w:val="21"/>
          <w:highlight w:val="none"/>
        </w:rPr>
        <w:outlineLvl w:val="0"/>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二、质量保修期</w:t>
      </w:r>
      <w:r/>
    </w:p>
    <w:p>
      <w:pPr>
        <w:ind w:firstLine="400"/>
        <w:spacing w:line="400" w:lineRule="exact"/>
        <w:rPr>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1．地基基础工程和主体结构工程为设计文件规定的工程合理使用年限；</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 xml:space="preserve">年；</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3．装修工程为</w:t>
      </w:r>
      <w:r>
        <w:rPr>
          <w:rFonts w:hint="eastAsia" w:ascii="宋体" w:hAnsi="宋体" w:eastAsia="宋体" w:cs="宋体"/>
          <w:color w:val="auto"/>
          <w:sz w:val="21"/>
          <w:szCs w:val="21"/>
          <w:highlight w:val="none"/>
          <w:u w:val="single"/>
        </w:rPr>
        <w:t xml:space="preserve"> 2</w:t>
      </w:r>
      <w:r>
        <w:rPr>
          <w:rFonts w:hint="eastAsia" w:ascii="宋体" w:hAnsi="宋体" w:eastAsia="宋体" w:cs="宋体"/>
          <w:color w:val="auto"/>
          <w:sz w:val="21"/>
          <w:szCs w:val="21"/>
          <w:highlight w:val="none"/>
        </w:rPr>
        <w:t xml:space="preserve">年；</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4．电气管线、给排水管道、设备安装工程为</w:t>
      </w:r>
      <w:r>
        <w:rPr>
          <w:rFonts w:hint="eastAsia" w:ascii="宋体" w:hAnsi="宋体" w:eastAsia="宋体" w:cs="宋体"/>
          <w:color w:val="auto"/>
          <w:sz w:val="21"/>
          <w:szCs w:val="21"/>
          <w:highlight w:val="none"/>
          <w:u w:val="single"/>
        </w:rPr>
        <w:t xml:space="preserve"> 2</w:t>
      </w:r>
      <w:r>
        <w:rPr>
          <w:rFonts w:hint="eastAsia" w:ascii="宋体" w:hAnsi="宋体" w:eastAsia="宋体" w:cs="宋体"/>
          <w:color w:val="auto"/>
          <w:sz w:val="21"/>
          <w:szCs w:val="21"/>
          <w:highlight w:val="none"/>
        </w:rPr>
        <w:t xml:space="preserve">年；</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个采暖期、供冷期；</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6．住宅小区内的给排水设施、道路等配套工程为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7．其他项目保修期限约定如下：质量保修期</w:t>
      </w:r>
      <w:r>
        <w:rPr>
          <w:rFonts w:hint="eastAsia" w:ascii="宋体" w:hAnsi="宋体" w:cs="宋体"/>
          <w:color w:val="auto"/>
          <w:sz w:val="21"/>
          <w:szCs w:val="21"/>
          <w:highlight w:val="none"/>
          <w:u w:val="single"/>
          <w:lang w:val="en-US" w:eastAsia="zh-CN"/>
        </w:rPr>
        <w:t xml:space="preserve">半</w:t>
      </w:r>
      <w:r>
        <w:rPr>
          <w:rFonts w:hint="eastAsia" w:ascii="宋体" w:hAnsi="宋体" w:eastAsia="宋体" w:cs="宋体"/>
          <w:color w:val="auto"/>
          <w:sz w:val="21"/>
          <w:szCs w:val="21"/>
          <w:highlight w:val="none"/>
        </w:rPr>
        <w:t xml:space="preserve">年。</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三、缺陷责任期</w:t>
      </w:r>
      <w:r/>
    </w:p>
    <w:p>
      <w:pPr>
        <w:ind w:firstLine="400"/>
        <w:spacing w:line="400" w:lineRule="exact"/>
        <w:rPr>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四、质量保修责任</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发生一切费用由承包方承担。</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2．发生紧急事故需抢修的，承包人在接到事故通知后，应当立即到达事故现场抢修。</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4．质量保修完成后，由发包人组织验收。</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5.工程保修服务承诺</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1）建立回访制，进行定期、不定期回访，每年内工程回访不少于两次，认真听取建设单位意见，并形成回访记录。</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2）建立维修工程专班专人负责制，由公司工程部、技术部派人负责。</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3）在质保期内承包人做到：</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A、免费提供所需的工作人员和材料进行维修。针对现场破坏程度，制定相关处理方案，得到业主同意后，对工程进行维护修复工作。</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B、负责对工程进行日常一般性的定期维修保养，同时提供日夜24小时应答的紧急维修服务。</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4）工程保修原则及质量回访计划</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A、工程保修原则</w:t>
      </w:r>
      <w:r/>
    </w:p>
    <w:p>
      <w:pPr>
        <w:spacing w:line="400" w:lineRule="exact"/>
        <w:rPr>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\o\ac(○,1)</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在保修期间，承包人将本着“向发包人负责，让用户满意”的态度，以有效的制度及措施，以优质迅速的维修质量维护承包人利益。</w:t>
      </w:r>
      <w:r/>
    </w:p>
    <w:p>
      <w:pPr>
        <w:spacing w:line="400" w:lineRule="exact"/>
        <w:rPr>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\o\ac(○,2)</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由承包人原因造成的任何损伤和损坏，承包人将对所有缺陷的进行无偿检修，并承担由此造成的发包人的损失。</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B、工程保修回访计划</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　　五、保修费用</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保修费用由造成质量缺陷的责任方承担。</w:t>
      </w:r>
      <w:r/>
    </w:p>
    <w:p>
      <w:pPr>
        <w:ind w:firstLine="402"/>
        <w:spacing w:line="400" w:lineRule="exact"/>
        <w:rPr>
          <w:color w:val="auto"/>
          <w:sz w:val="21"/>
          <w:szCs w:val="21"/>
          <w:highlight w:val="none"/>
        </w:rPr>
      </w:pPr>
      <w:r>
        <w:rPr>
          <w:rFonts w:hint="eastAsia" w:ascii="宋体" w:hAnsi="宋体" w:eastAsia="宋体" w:cs="宋体"/>
          <w:b/>
          <w:color w:val="auto"/>
          <w:sz w:val="21"/>
          <w:szCs w:val="21"/>
          <w:highlight w:val="none"/>
        </w:rPr>
        <w:t xml:space="preserve">六</w:t>
      </w: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380"/>
        <w:spacing w:line="400" w:lineRule="exact"/>
        <w:rPr>
          <w:color w:val="auto"/>
          <w:sz w:val="21"/>
          <w:szCs w:val="21"/>
          <w:highlight w:val="none"/>
        </w:rPr>
      </w:pPr>
      <w:r>
        <w:rPr>
          <w:rFonts w:hint="eastAsia" w:ascii="宋体" w:hAnsi="宋体" w:eastAsia="宋体" w:cs="宋体"/>
          <w:color w:val="auto"/>
          <w:sz w:val="21"/>
          <w:szCs w:val="21"/>
          <w:highlight w:val="none"/>
        </w:rPr>
        <w:t xml:space="preserve">工程质量保修书由发包人、承包人在工程竣工验收前共同签署，作为施工合同附件，其有效期限至保修期满。</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发包人(公章)：承包人(公章)：</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地址：</w:t>
      </w:r>
      <w:r>
        <w:rPr>
          <w:rStyle w:val="1042"/>
          <w:rFonts w:hint="eastAsia" w:ascii="宋体" w:hAnsi="宋体" w:eastAsia="宋体" w:cs="宋体"/>
          <w:color w:val="auto"/>
          <w:highlight w:val="none"/>
        </w:rPr>
        <w:t xml:space="preserve">地址：</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法定代表人(签字)：法定代表人(签字)：</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委托代理人(签字)：委托代理人(签字)：</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电话：</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传真：</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传真：</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开户银行：</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账号：</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邮政编码：</w:t>
      </w:r>
      <w:bookmarkEnd w:id="51"/>
      <w:r/>
      <w:r/>
    </w:p>
    <w:p>
      <w:pPr>
        <w:ind w:left="4382" w:hanging="3882"/>
        <w:spacing w:line="360" w:lineRule="auto"/>
        <w:rPr>
          <w:rFonts w:ascii="宋体" w:hAnsi="宋体" w:cs="宋体"/>
          <w:color w:val="auto"/>
          <w:highlight w:val="none"/>
          <w:u w:val="single"/>
        </w:rPr>
      </w:pPr>
      <w:r>
        <w:rPr>
          <w:rFonts w:ascii="宋体" w:hAnsi="宋体" w:cs="宋体"/>
          <w:color w:val="auto"/>
          <w:highlight w:val="none"/>
          <w:u w:val="single"/>
        </w:rPr>
      </w:r>
      <w:r/>
    </w:p>
    <w:p>
      <w:pPr>
        <w:ind w:firstLine="600"/>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ind w:firstLine="600"/>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rPr>
          <w:color w:val="auto"/>
          <w:highlight w:val="none"/>
        </w:rPr>
      </w:pPr>
      <w:r>
        <w:rPr>
          <w:color w:val="auto"/>
          <w:highlight w:val="none"/>
        </w:rPr>
      </w:r>
      <w:r/>
    </w:p>
    <w:p>
      <w:pPr>
        <w:ind w:firstLine="600"/>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ind w:firstLine="600"/>
        <w:spacing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附件4：</w:t>
      </w:r>
      <w:r/>
    </w:p>
    <w:p>
      <w:pPr>
        <w:ind w:firstLine="600"/>
        <w:jc w:val="center"/>
        <w:spacing w:before="120" w:after="120"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主要建设工程文件目录</w:t>
      </w:r>
      <w:r/>
    </w:p>
    <w:tbl>
      <w:tblPr>
        <w:tblStyle w:val="992"/>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质量</w:t>
            </w:r>
            <w:r/>
          </w:p>
        </w:tc>
        <w:tc>
          <w:tcPr>
            <w:tcBorders>
              <w:top w:val="single" w:color="auto" w:sz="12" w:space="0"/>
              <w:bottom w:val="single" w:color="auto" w:sz="6" w:space="0"/>
            </w:tcBorders>
            <w:tcW w:w="1450" w:type="dxa"/>
            <w:vAlign w:val="top"/>
            <w:textDirection w:val="lrTb"/>
            <w:noWrap w:val="false"/>
          </w:tcPr>
          <w:p>
            <w:pPr>
              <w:spacing w:line="440" w:lineRule="exact"/>
              <w:rPr>
                <w:rFonts w:ascii="宋体" w:hAnsi="宋体" w:cs="宋体"/>
                <w:color w:val="auto"/>
                <w:sz w:val="28"/>
                <w:szCs w:val="30"/>
                <w:highlight w:val="none"/>
              </w:rPr>
            </w:pPr>
            <w:r>
              <w:rPr>
                <w:rFonts w:hint="eastAsia" w:ascii="宋体" w:hAnsi="宋体" w:cs="宋体"/>
                <w:color w:val="auto"/>
                <w:sz w:val="28"/>
                <w:szCs w:val="30"/>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spacing w:line="440" w:lineRule="exact"/>
              <w:rPr>
                <w:rFonts w:ascii="宋体" w:hAnsi="宋体" w:cs="宋体"/>
                <w:color w:val="auto"/>
                <w:sz w:val="28"/>
                <w:szCs w:val="30"/>
                <w:highlight w:val="none"/>
              </w:rPr>
            </w:pPr>
            <w:r>
              <w:rPr>
                <w:rFonts w:hint="eastAsia" w:ascii="宋体" w:hAnsi="宋体" w:cs="宋体"/>
                <w:color w:val="auto"/>
                <w:sz w:val="28"/>
                <w:szCs w:val="30"/>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Borders>
              <w:top w:val="none" w:color="000000" w:sz="4" w:space="0"/>
            </w:tcBorders>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bl>
    <w:p>
      <w:pPr>
        <w:spacing w:line="440" w:lineRule="exact"/>
        <w:rPr>
          <w:rFonts w:ascii="宋体" w:hAnsi="宋体" w:cs="宋体"/>
          <w:color w:val="auto"/>
          <w:sz w:val="30"/>
          <w:szCs w:val="30"/>
          <w:highlight w:val="none"/>
        </w:rPr>
        <w:sectPr>
          <w:headerReference w:type="default" r:id="rId13"/>
          <w:footerReference w:type="default" r:id="rId21"/>
          <w:footerReference w:type="first" r:id="rId22"/>
          <w:footnotePr/>
          <w:endnotePr/>
          <w:type w:val="nextPage"/>
          <w:pgSz w:w="11906" w:h="16838" w:orient="portrait"/>
          <w:pgMar w:top="1417" w:right="850" w:bottom="1417" w:left="1134" w:header="851" w:footer="992" w:gutter="0"/>
          <w:cols w:num="1" w:sep="0" w:space="720" w:equalWidth="1"/>
          <w:docGrid w:linePitch="360"/>
          <w:titlePg/>
        </w:sect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324" w:name="_Toc296503227"/>
      <w:r/>
      <w:bookmarkStart w:id="325" w:name="_Toc296891267"/>
      <w:r/>
      <w:bookmarkStart w:id="326" w:name="_Toc296346728"/>
      <w:r/>
      <w:bookmarkStart w:id="327" w:name="_Toc296347226"/>
      <w:r/>
      <w:bookmarkStart w:id="328" w:name="_Toc296944566"/>
      <w:r/>
      <w:bookmarkStart w:id="329" w:name="_Toc296891055"/>
      <w:r/>
      <w:bookmarkStart w:id="330" w:name="_Toc267261698"/>
      <w:r>
        <w:rPr>
          <w:rFonts w:hint="eastAsia" w:ascii="宋体" w:hAnsi="宋体" w:eastAsia="宋体" w:cs="宋体"/>
          <w:color w:val="auto"/>
          <w:sz w:val="30"/>
          <w:szCs w:val="30"/>
          <w:highlight w:val="none"/>
        </w:rPr>
        <w:t xml:space="preserve">件5：</w:t>
      </w:r>
      <w:bookmarkEnd w:id="324"/>
      <w:r/>
      <w:bookmarkEnd w:id="325"/>
      <w:r/>
      <w:bookmarkEnd w:id="326"/>
      <w:r/>
      <w:bookmarkEnd w:id="327"/>
      <w:r/>
      <w:bookmarkEnd w:id="328"/>
      <w:r/>
      <w:bookmarkEnd w:id="329"/>
      <w:r/>
      <w:bookmarkEnd w:id="330"/>
      <w:r/>
      <w:r/>
    </w:p>
    <w:p>
      <w:pPr>
        <w:ind w:firstLine="600"/>
        <w:jc w:val="center"/>
        <w:spacing w:before="120" w:after="120"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承包人用于本工程施工的机械设备表</w:t>
      </w:r>
      <w:r/>
    </w:p>
    <w:tbl>
      <w:tblPr>
        <w:tblStyle w:val="992"/>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Borders>
              <w:top w:val="none" w:color="000000" w:sz="4" w:space="0"/>
            </w:tcBorders>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bl>
    <w:p>
      <w:pPr>
        <w:spacing w:line="440" w:lineRule="exact"/>
        <w:rPr>
          <w:rFonts w:ascii="宋体" w:hAnsi="宋体" w:cs="宋体"/>
          <w:color w:val="auto"/>
          <w:sz w:val="30"/>
          <w:szCs w:val="30"/>
          <w:highlight w:val="none"/>
        </w:rPr>
        <w:sectPr>
          <w:footnotePr/>
          <w:endnotePr/>
          <w:type w:val="nextPage"/>
          <w:pgSz w:w="11906" w:h="16838" w:orient="portrait"/>
          <w:pgMar w:top="1417" w:right="850" w:bottom="1417" w:left="1134" w:header="851" w:footer="992" w:gutter="0"/>
          <w:cols w:num="1" w:sep="0" w:space="720" w:equalWidth="1"/>
          <w:docGrid w:linePitch="360"/>
          <w:titlePg/>
        </w:sect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331" w:name="_Toc296347227"/>
      <w:r/>
      <w:bookmarkStart w:id="332" w:name="_Toc267261699"/>
      <w:r/>
      <w:bookmarkStart w:id="333" w:name="_Toc296891056"/>
      <w:r/>
      <w:bookmarkStart w:id="334" w:name="_Toc296944567"/>
      <w:r/>
      <w:bookmarkStart w:id="335" w:name="_Toc296346729"/>
      <w:r/>
      <w:bookmarkStart w:id="336" w:name="_Toc296503228"/>
      <w:r/>
      <w:bookmarkStart w:id="337" w:name="_Toc296891268"/>
      <w:r>
        <w:rPr>
          <w:rFonts w:hint="eastAsia" w:ascii="宋体" w:hAnsi="宋体" w:eastAsia="宋体" w:cs="宋体"/>
          <w:color w:val="auto"/>
          <w:sz w:val="30"/>
          <w:szCs w:val="30"/>
          <w:highlight w:val="none"/>
        </w:rPr>
        <w:t xml:space="preserve">件6：</w:t>
      </w:r>
      <w:bookmarkEnd w:id="331"/>
      <w:r/>
      <w:bookmarkEnd w:id="332"/>
      <w:r/>
      <w:bookmarkEnd w:id="333"/>
      <w:r/>
      <w:bookmarkEnd w:id="334"/>
      <w:r/>
      <w:bookmarkEnd w:id="335"/>
      <w:r/>
      <w:bookmarkEnd w:id="336"/>
      <w:r/>
      <w:bookmarkEnd w:id="337"/>
      <w:r/>
      <w:r/>
    </w:p>
    <w:p>
      <w:pPr>
        <w:ind w:firstLine="600"/>
        <w:jc w:val="center"/>
        <w:spacing w:before="120" w:after="120"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承包人主要施工管理人员表</w:t>
      </w:r>
      <w:r/>
    </w:p>
    <w:tbl>
      <w:tblPr>
        <w:tblStyle w:val="992"/>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项目主管</w:t>
            </w:r>
            <w:r/>
          </w:p>
        </w:tc>
        <w:tc>
          <w:tcPr>
            <w:tcBorders>
              <w:top w:val="none" w:color="000000" w:sz="4" w:space="0"/>
            </w:tcBorders>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项目经理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项目副经理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技术负责人</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造价管理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质量管理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材料管理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计划管理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安全管理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tcBorders>
            <w:tcW w:w="1871" w:type="dxa"/>
            <w:vAlign w:val="center"/>
            <w:vMerge w:val="restart"/>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none" w:color="000000" w:sz="4" w:space="0"/>
            </w:tcBorders>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none" w:color="000000" w:sz="4" w:space="0"/>
            </w:tcBorders>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bl>
    <w:p>
      <w:pPr>
        <w:spacing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（此表格</w:t>
      </w:r>
      <w:r>
        <w:rPr>
          <w:rFonts w:hint="eastAsia" w:ascii="宋体" w:hAnsi="宋体" w:cs="宋体"/>
          <w:color w:val="auto"/>
          <w:sz w:val="30"/>
          <w:szCs w:val="30"/>
          <w:highlight w:val="none"/>
          <w:lang w:val="en-US" w:eastAsia="zh-CN"/>
        </w:rPr>
        <w:t xml:space="preserve">供应商</w:t>
      </w:r>
      <w:r>
        <w:rPr>
          <w:rFonts w:hint="eastAsia" w:ascii="宋体" w:hAnsi="宋体" w:eastAsia="宋体" w:cs="宋体"/>
          <w:color w:val="auto"/>
          <w:sz w:val="30"/>
          <w:szCs w:val="30"/>
          <w:highlight w:val="none"/>
        </w:rPr>
        <w:t xml:space="preserve">在招投标阶段无需填写，在合同备案时填写完整）</w:t>
      </w:r>
      <w:r/>
    </w:p>
    <w:p>
      <w:pPr>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sectPr>
          <w:footnotePr/>
          <w:endnotePr/>
          <w:type w:val="nextPage"/>
          <w:pgSz w:w="11906" w:h="16838" w:orient="portrait"/>
          <w:pgMar w:top="1417" w:right="850" w:bottom="1417" w:left="1134" w:header="851" w:footer="992" w:gutter="0"/>
          <w:cols w:num="1" w:sep="0" w:space="720" w:equalWidth="1"/>
          <w:docGrid w:linePitch="360"/>
          <w:titlePg/>
        </w:sect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338" w:name="_Toc296346730"/>
      <w:r/>
      <w:bookmarkStart w:id="339" w:name="_Toc296347228"/>
      <w:r/>
      <w:bookmarkStart w:id="340" w:name="_Toc296891269"/>
      <w:r/>
      <w:bookmarkStart w:id="341" w:name="_Toc296944568"/>
      <w:r/>
      <w:bookmarkStart w:id="342" w:name="_Toc296503229"/>
      <w:r/>
      <w:bookmarkStart w:id="343" w:name="_Toc296891057"/>
      <w:r>
        <w:rPr>
          <w:rFonts w:hint="eastAsia" w:ascii="宋体" w:hAnsi="宋体" w:eastAsia="宋体" w:cs="宋体"/>
          <w:color w:val="auto"/>
          <w:sz w:val="30"/>
          <w:szCs w:val="30"/>
          <w:highlight w:val="none"/>
        </w:rPr>
        <w:t xml:space="preserve">件7：</w:t>
      </w:r>
      <w:bookmarkEnd w:id="338"/>
      <w:r/>
      <w:bookmarkEnd w:id="339"/>
      <w:r/>
      <w:bookmarkEnd w:id="340"/>
      <w:r/>
      <w:bookmarkEnd w:id="341"/>
      <w:r/>
      <w:bookmarkEnd w:id="342"/>
      <w:r/>
      <w:bookmarkEnd w:id="343"/>
      <w:r/>
      <w:r/>
    </w:p>
    <w:p>
      <w:pPr>
        <w:ind w:firstLine="600"/>
        <w:jc w:val="center"/>
        <w:spacing w:before="120" w:after="120"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分包人主要施工管理人员表</w:t>
      </w:r>
      <w:r/>
    </w:p>
    <w:tbl>
      <w:tblPr>
        <w:tblStyle w:val="992"/>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项目主管</w:t>
            </w:r>
            <w:r/>
          </w:p>
        </w:tc>
        <w:tc>
          <w:tcPr>
            <w:tcBorders>
              <w:top w:val="none" w:color="000000" w:sz="4" w:space="0"/>
            </w:tcBorders>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项目经理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项目副经理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技术负责人</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造价管理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质量管理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材料管理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施工管理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安全管理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tcBorders>
            <w:tcW w:w="1871" w:type="dxa"/>
            <w:vAlign w:val="center"/>
            <w:vMerge w:val="restart"/>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none" w:color="000000" w:sz="4" w:space="0"/>
            </w:tcBorders>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none" w:color="000000" w:sz="4" w:space="0"/>
            </w:tcBorders>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bottom w:val="single" w:color="auto" w:sz="12" w:space="0"/>
            </w:tcBorders>
            <w:tcW w:w="1871" w:type="dxa"/>
            <w:vAlign w:val="center"/>
            <w:vMerge w:val="continue"/>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single" w:color="auto" w:sz="12" w:space="0"/>
            </w:tcBorders>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single" w:color="auto" w:sz="12"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single" w:color="auto" w:sz="12"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single" w:color="auto" w:sz="12" w:space="0"/>
            </w:tcBorders>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bl>
    <w:p>
      <w:pPr>
        <w:numPr>
          <w:ilvl w:val="0"/>
          <w:numId w:val="0"/>
        </w:numPr>
        <w:jc w:val="lef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numPr>
          <w:ilvl w:val="0"/>
          <w:numId w:val="0"/>
        </w:numPr>
        <w:jc w:val="lef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numPr>
          <w:ilvl w:val="0"/>
          <w:numId w:val="0"/>
        </w:numPr>
        <w:jc w:val="lef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numPr>
          <w:ilvl w:val="0"/>
          <w:numId w:val="0"/>
        </w:numPr>
        <w:jc w:val="lef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numPr>
          <w:ilvl w:val="0"/>
          <w:numId w:val="0"/>
        </w:numPr>
        <w:jc w:val="lef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numPr>
          <w:ilvl w:val="0"/>
          <w:numId w:val="0"/>
        </w:numPr>
        <w:jc w:val="lef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numPr>
          <w:ilvl w:val="0"/>
          <w:numId w:val="0"/>
        </w:numPr>
        <w:jc w:val="lef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numPr>
          <w:ilvl w:val="0"/>
          <w:numId w:val="0"/>
        </w:numPr>
        <w:jc w:val="lef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numPr>
          <w:ilvl w:val="0"/>
          <w:numId w:val="0"/>
        </w:numPr>
        <w:jc w:val="lef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numPr>
          <w:ilvl w:val="0"/>
          <w:numId w:val="0"/>
        </w:numPr>
        <w:jc w:val="lef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numPr>
          <w:ilvl w:val="0"/>
          <w:numId w:val="0"/>
        </w:numPr>
        <w:jc w:val="lef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left="0" w:right="0" w:firstLine="0"/>
        <w:jc w:val="both"/>
        <w:spacing w:before="0" w:after="0" w:line="85"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jc w:val="center"/>
        <w:spacing w:line="360" w:lineRule="auto"/>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t xml:space="preserve">13、预付款保函支付条款模板</w:t>
      </w:r>
      <w:r/>
    </w:p>
    <w:p>
      <w:pPr>
        <w:ind w:firstLine="56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p>
      <w:pPr>
        <w:rPr>
          <w:rFonts w:ascii="宋体" w:hAnsi="宋体" w:eastAsia="宋体" w:cs="宋体"/>
          <w:b/>
          <w:color w:val="000000"/>
          <w:sz w:val="24"/>
          <w:highlight w:val="none"/>
        </w:rPr>
      </w:pPr>
      <w:r>
        <w:rPr>
          <w:rFonts w:ascii="宋体" w:hAnsi="宋体" w:eastAsia="宋体" w:cs="宋体"/>
          <w:b/>
          <w:color w:val="000000"/>
          <w:sz w:val="24"/>
          <w:highlight w:val="none"/>
        </w:rPr>
        <w:br w:type="page" w:clear="all"/>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14、</w:t>
      </w:r>
      <w:r>
        <w:rPr>
          <w:rFonts w:ascii="宋体" w:hAnsi="宋体" w:eastAsia="宋体" w:cs="宋体"/>
          <w:b/>
          <w:color w:val="000000"/>
          <w:sz w:val="24"/>
          <w:highlight w:val="none"/>
        </w:rPr>
        <w:t xml:space="preserve">徐州市政府采购代理服务费行业指导价格</w:t>
      </w:r>
      <w:r>
        <w:rPr>
          <w:rFonts w:ascii="宋体" w:hAnsi="宋体" w:eastAsia="宋体" w:cs="宋体"/>
          <w:b/>
          <w:color w:val="000000"/>
          <w:sz w:val="24"/>
          <w:highlight w:val="none"/>
        </w:rPr>
        <w:br/>
      </w:r>
      <w:r>
        <w:rPr>
          <w:rFonts w:ascii="宋体" w:hAnsi="宋体" w:eastAsia="宋体" w:cs="宋体"/>
          <w:b/>
          <w:color w:val="000000"/>
          <w:sz w:val="24"/>
          <w:highlight w:val="none"/>
        </w:rPr>
        <w:br/>
      </w:r>
      <w:r/>
    </w:p>
    <w:tbl>
      <w:tblPr>
        <w:tblStyle w:val="10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69"/>
        <w:gridCol w:w="1684"/>
      </w:tblGrid>
      <w:tr>
        <w:trPr>
          <w:trHeight w:val="5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69" w:type="dxa"/>
            <w:vAlign w:val="top"/>
            <w:textDirection w:val="lrTb"/>
            <w:noWrap w:val="false"/>
          </w:tcPr>
          <w:p>
            <w:pPr>
              <w:ind w:left="0" w:right="0" w:firstLine="0"/>
              <w:jc w:val="center"/>
              <w:spacing w:before="153"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3"/>
                <w:sz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84" w:type="dxa"/>
            <w:vAlign w:val="top"/>
            <w:textDirection w:val="lrTb"/>
            <w:noWrap w:val="false"/>
          </w:tcPr>
          <w:p>
            <w:pPr>
              <w:ind w:left="0" w:right="0" w:firstLine="0"/>
              <w:jc w:val="center"/>
              <w:spacing w:before="153"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highlight w:val="none"/>
              </w:rPr>
              <w:t xml:space="preserve">费率</w:t>
            </w:r>
            <w:r/>
          </w:p>
        </w:tc>
      </w:tr>
      <w:tr>
        <w:trPr>
          <w:trHeight w:val="34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69" w:type="dxa"/>
            <w:vAlign w:val="top"/>
            <w:textDirection w:val="lrTb"/>
            <w:noWrap w:val="false"/>
          </w:tcPr>
          <w:p>
            <w:pPr>
              <w:ind w:left="114" w:right="0" w:firstLine="0"/>
              <w:jc w:val="center"/>
              <w:spacing w:before="153"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4" w:type="dxa"/>
            <w:vAlign w:val="top"/>
            <w:textDirection w:val="lrTb"/>
            <w:noWrap w:val="false"/>
          </w:tcPr>
          <w:p>
            <w:pPr>
              <w:ind w:left="87" w:right="0" w:firstLine="0"/>
              <w:jc w:val="center"/>
              <w:spacing w:before="154"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highlight w:val="none"/>
              </w:rPr>
              <w:t xml:space="preserve">5000元</w:t>
            </w:r>
            <w:r/>
          </w:p>
        </w:tc>
      </w:tr>
      <w:tr>
        <w:trPr>
          <w:trHeight w:val="3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69" w:type="dxa"/>
            <w:vAlign w:val="top"/>
            <w:textDirection w:val="lrTb"/>
            <w:noWrap w:val="false"/>
          </w:tcPr>
          <w:p>
            <w:pPr>
              <w:ind w:left="114" w:right="0" w:firstLine="0"/>
              <w:jc w:val="center"/>
              <w:spacing w:before="164"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4" w:type="dxa"/>
            <w:vAlign w:val="top"/>
            <w:textDirection w:val="lrTb"/>
            <w:noWrap w:val="false"/>
          </w:tcPr>
          <w:p>
            <w:pPr>
              <w:ind w:left="87" w:right="0" w:firstLine="0"/>
              <w:jc w:val="center"/>
              <w:spacing w:before="243"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1.6%</w:t>
            </w:r>
            <w:r/>
          </w:p>
        </w:tc>
      </w:tr>
      <w:tr>
        <w:trPr>
          <w:trHeight w:val="3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69" w:type="dxa"/>
            <w:vAlign w:val="top"/>
            <w:textDirection w:val="lrTb"/>
            <w:noWrap w:val="false"/>
          </w:tcPr>
          <w:p>
            <w:pPr>
              <w:ind w:left="114" w:right="0" w:firstLine="0"/>
              <w:jc w:val="center"/>
              <w:spacing w:before="165"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4" w:type="dxa"/>
            <w:vAlign w:val="top"/>
            <w:textDirection w:val="lrTb"/>
            <w:noWrap w:val="false"/>
          </w:tcPr>
          <w:p>
            <w:pPr>
              <w:ind w:left="87" w:right="0" w:firstLine="0"/>
              <w:jc w:val="center"/>
              <w:spacing w:before="244"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1.5%</w:t>
            </w:r>
            <w:r/>
          </w:p>
        </w:tc>
      </w:tr>
      <w:tr>
        <w:trPr>
          <w:trHeight w:val="3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69" w:type="dxa"/>
            <w:vAlign w:val="top"/>
            <w:textDirection w:val="lrTb"/>
            <w:noWrap w:val="false"/>
          </w:tcPr>
          <w:p>
            <w:pPr>
              <w:ind w:left="114" w:right="0" w:firstLine="0"/>
              <w:jc w:val="center"/>
              <w:spacing w:before="166"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4" w:type="dxa"/>
            <w:vAlign w:val="top"/>
            <w:textDirection w:val="lrTb"/>
            <w:noWrap w:val="false"/>
          </w:tcPr>
          <w:p>
            <w:pPr>
              <w:ind w:left="87" w:right="0" w:firstLine="0"/>
              <w:jc w:val="center"/>
              <w:spacing w:before="245"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highlight w:val="none"/>
              </w:rPr>
              <w:t xml:space="preserve">1.1%</w:t>
            </w:r>
            <w:r/>
          </w:p>
        </w:tc>
      </w:tr>
      <w:tr>
        <w:trPr>
          <w:trHeight w:val="5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69" w:type="dxa"/>
            <w:vAlign w:val="top"/>
            <w:textDirection w:val="lrTb"/>
            <w:noWrap w:val="false"/>
          </w:tcPr>
          <w:p>
            <w:pPr>
              <w:ind w:left="114" w:right="0" w:firstLine="0"/>
              <w:jc w:val="center"/>
              <w:spacing w:before="157"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4" w:type="dxa"/>
            <w:vAlign w:val="top"/>
            <w:textDirection w:val="lrTb"/>
            <w:noWrap w:val="false"/>
          </w:tcPr>
          <w:p>
            <w:pPr>
              <w:ind w:left="87" w:right="0" w:firstLine="0"/>
              <w:jc w:val="center"/>
              <w:spacing w:before="237"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highlight w:val="none"/>
              </w:rPr>
              <w:t xml:space="preserve">0.8%</w:t>
            </w:r>
            <w:r/>
          </w:p>
        </w:tc>
      </w:tr>
      <w:tr>
        <w:trPr>
          <w:trHeight w:val="3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69" w:type="dxa"/>
            <w:vAlign w:val="top"/>
            <w:textDirection w:val="lrTb"/>
            <w:noWrap w:val="false"/>
          </w:tcPr>
          <w:p>
            <w:pPr>
              <w:ind w:left="114" w:right="0" w:firstLine="0"/>
              <w:jc w:val="center"/>
              <w:spacing w:before="168"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4" w:type="dxa"/>
            <w:vAlign w:val="top"/>
            <w:textDirection w:val="lrTb"/>
            <w:noWrap w:val="false"/>
          </w:tcPr>
          <w:p>
            <w:pPr>
              <w:ind w:left="87" w:right="0" w:firstLine="0"/>
              <w:jc w:val="center"/>
              <w:spacing w:before="248"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highlight w:val="none"/>
              </w:rPr>
              <w:t xml:space="preserve">0.25%</w:t>
            </w:r>
            <w:r/>
          </w:p>
        </w:tc>
      </w:tr>
      <w:tr>
        <w:trPr>
          <w:trHeight w:val="3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69" w:type="dxa"/>
            <w:vAlign w:val="top"/>
            <w:textDirection w:val="lrTb"/>
            <w:noWrap w:val="false"/>
          </w:tcPr>
          <w:p>
            <w:pPr>
              <w:ind w:left="114" w:right="0" w:firstLine="0"/>
              <w:jc w:val="center"/>
              <w:spacing w:before="169"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4" w:type="dxa"/>
            <w:vAlign w:val="top"/>
            <w:textDirection w:val="lrTb"/>
            <w:noWrap w:val="false"/>
          </w:tcPr>
          <w:p>
            <w:pPr>
              <w:ind w:left="87" w:right="0" w:firstLine="0"/>
              <w:jc w:val="center"/>
              <w:spacing w:before="249"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highlight w:val="none"/>
              </w:rPr>
              <w:t xml:space="preserve">0.05%</w:t>
            </w:r>
            <w:r/>
          </w:p>
        </w:tc>
      </w:tr>
      <w:tr>
        <w:trPr>
          <w:trHeight w:val="3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69" w:type="dxa"/>
            <w:vAlign w:val="top"/>
            <w:textDirection w:val="lrTb"/>
            <w:noWrap w:val="false"/>
          </w:tcPr>
          <w:p>
            <w:pPr>
              <w:ind w:left="114" w:right="0" w:firstLine="0"/>
              <w:jc w:val="center"/>
              <w:spacing w:before="160"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4" w:type="dxa"/>
            <w:vAlign w:val="top"/>
            <w:textDirection w:val="lrTb"/>
            <w:noWrap w:val="false"/>
          </w:tcPr>
          <w:p>
            <w:pPr>
              <w:ind w:left="87" w:right="0" w:firstLine="0"/>
              <w:jc w:val="center"/>
              <w:spacing w:before="239"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highlight w:val="none"/>
              </w:rPr>
              <w:t xml:space="preserve">0.01%</w:t>
            </w:r>
            <w:r/>
          </w:p>
        </w:tc>
      </w:tr>
      <w:tr>
        <w:trPr>
          <w:trHeight w:val="3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69" w:type="dxa"/>
            <w:vAlign w:val="top"/>
            <w:textDirection w:val="lrTb"/>
            <w:noWrap w:val="false"/>
          </w:tcPr>
          <w:p>
            <w:pPr>
              <w:ind w:left="114" w:right="0" w:firstLine="0"/>
              <w:jc w:val="center"/>
              <w:spacing w:before="172"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4" w:type="dxa"/>
            <w:vAlign w:val="top"/>
            <w:textDirection w:val="lrTb"/>
            <w:noWrap w:val="false"/>
          </w:tcPr>
          <w:p>
            <w:pPr>
              <w:ind w:left="87" w:right="0" w:firstLine="0"/>
              <w:jc w:val="center"/>
              <w:spacing w:before="251" w:after="24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highlight w:val="none"/>
              </w:rPr>
              <w:t xml:space="preserve">0.005%</w:t>
            </w:r>
            <w:r/>
          </w:p>
        </w:tc>
      </w:tr>
    </w:tbl>
    <w:p>
      <w:pPr>
        <w:ind w:left="699" w:right="0" w:firstLine="0"/>
        <w:spacing w:before="224"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3"/>
          <w:sz w:val="24"/>
          <w:highlight w:val="none"/>
        </w:rPr>
        <w:t xml:space="preserve">说 明</w:t>
      </w:r>
      <w:r>
        <w:rPr>
          <w:rFonts w:ascii="宋体" w:hAnsi="宋体" w:eastAsia="宋体" w:cs="宋体"/>
          <w:color w:val="000000"/>
          <w:spacing w:val="-35"/>
          <w:sz w:val="24"/>
          <w:highlight w:val="none"/>
        </w:rPr>
        <w:t xml:space="preserve"> </w:t>
      </w:r>
      <w:r>
        <w:rPr>
          <w:rFonts w:ascii="宋体" w:hAnsi="宋体" w:eastAsia="宋体" w:cs="宋体"/>
          <w:color w:val="000000"/>
          <w:spacing w:val="-13"/>
          <w:sz w:val="24"/>
          <w:highlight w:val="none"/>
        </w:rPr>
        <w:t xml:space="preserve">：</w:t>
      </w:r>
      <w:r/>
    </w:p>
    <w:p>
      <w:pPr>
        <w:ind w:left="59" w:right="0" w:firstLine="750"/>
        <w:spacing w:before="149" w:after="240" w:line="6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1.按上表计算的收费为代理服务全过程的收费金额。各社会</w:t>
      </w:r>
      <w:r>
        <w:rPr>
          <w:rFonts w:ascii="宋体" w:hAnsi="宋体" w:eastAsia="宋体" w:cs="宋体"/>
          <w:color w:val="000000"/>
          <w:spacing w:val="-2"/>
          <w:sz w:val="24"/>
          <w:highlight w:val="none"/>
        </w:rPr>
        <w:t xml:space="preserve">代理机构不再收取采购文件制作售卖费用。</w:t>
      </w:r>
      <w:r/>
    </w:p>
    <w:p>
      <w:pPr>
        <w:ind w:left="699" w:right="0" w:firstLine="0"/>
        <w:spacing w:before="58"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highlight w:val="none"/>
        </w:rPr>
        <w:t xml:space="preserve">2.代理服务费按差额定率累进法计算。</w:t>
      </w:r>
      <w:r/>
    </w:p>
    <w:p>
      <w:pPr>
        <w:ind w:left="110" w:right="27" w:firstLine="589"/>
        <w:spacing w:before="129" w:after="24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highlight w:val="none"/>
        </w:rPr>
        <w:t xml:space="preserve">3.代理服务费基准金额(按差额定率累进法计算的)=中标金</w:t>
      </w:r>
      <w:r>
        <w:rPr>
          <w:rFonts w:ascii="宋体" w:hAnsi="宋体" w:eastAsia="宋体" w:cs="宋体"/>
          <w:color w:val="000000"/>
          <w:spacing w:val="44"/>
          <w:sz w:val="24"/>
          <w:highlight w:val="none"/>
        </w:rPr>
        <w:t xml:space="preserve">额(按差额定率累进法计算的)*费率(%)。</w:t>
      </w:r>
      <w:r/>
    </w:p>
    <w:p>
      <w:pPr>
        <w:ind w:left="110" w:right="21" w:firstLine="589"/>
        <w:spacing w:before="21" w:after="240" w:line="7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highlight w:val="none"/>
        </w:rPr>
        <w:t xml:space="preserve">4.代理服务费应收取金额=代理服务费基准</w:t>
      </w:r>
      <w:r>
        <w:rPr>
          <w:rFonts w:ascii="宋体" w:hAnsi="宋体" w:eastAsia="宋体" w:cs="宋体"/>
          <w:color w:val="000000"/>
          <w:spacing w:val="2"/>
          <w:sz w:val="24"/>
          <w:highlight w:val="none"/>
        </w:rPr>
        <w:t xml:space="preserve">金额(按差额定率</w:t>
      </w:r>
      <w:r>
        <w:rPr>
          <w:rFonts w:ascii="宋体" w:hAnsi="宋体" w:eastAsia="宋体" w:cs="宋体"/>
          <w:color w:val="000000"/>
          <w:spacing w:val="9"/>
          <w:sz w:val="24"/>
          <w:highlight w:val="none"/>
        </w:rPr>
        <w:t xml:space="preserve">累进法计算的)的合计数。</w:t>
      </w:r>
      <w:r/>
    </w:p>
    <w:p>
      <w:pPr>
        <w:ind w:left="9" w:right="29" w:firstLine="689"/>
        <w:spacing w:before="14" w:after="24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highlight w:val="none"/>
        </w:rPr>
        <w:t xml:space="preserve">5.定点类等无金额或事先不能计算出价格总额的项目，按中</w:t>
      </w:r>
      <w:r>
        <w:rPr>
          <w:rFonts w:ascii="宋体" w:hAnsi="宋体" w:eastAsia="宋体" w:cs="宋体"/>
          <w:color w:val="000000"/>
          <w:spacing w:val="30"/>
          <w:sz w:val="24"/>
          <w:highlight w:val="none"/>
        </w:rPr>
        <w:t xml:space="preserve">标(成交)金额100万元计算。</w:t>
      </w:r>
      <w:r/>
    </w:p>
    <w:p>
      <w:pPr>
        <w:ind w:left="699" w:right="0" w:firstLine="0"/>
        <w:spacing w:before="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7"/>
          <w:sz w:val="24"/>
          <w:highlight w:val="none"/>
        </w:rPr>
        <w:t xml:space="preserve">6.有分包(分标段)的按一个项目计算。</w:t>
      </w:r>
      <w:r/>
    </w:p>
    <w:p>
      <w:pPr>
        <w:ind w:left="110" w:right="21" w:firstLine="589"/>
        <w:spacing w:before="21" w:after="240" w:line="72" w:lineRule="atLeast"/>
        <w:rPr>
          <w:rFonts w:ascii="宋体" w:hAnsi="宋体" w:eastAsia="宋体" w:cs="宋体"/>
          <w:color w:val="000000"/>
          <w:spacing w:val="3"/>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highlight w:val="none"/>
        </w:rPr>
        <w:t xml:space="preserve">7.以上价格为协会指导价，双方可根据项目难易程度和优质优价原则协</w:t>
      </w:r>
      <w:r/>
    </w:p>
    <w:p>
      <w:pPr>
        <w:ind w:left="110" w:right="21" w:firstLine="589"/>
        <w:spacing w:before="21" w:after="240" w:line="72" w:lineRule="atLeast"/>
        <w:rPr>
          <w:rFonts w:hint="eastAsia" w:ascii="宋体" w:hAnsi="宋体" w:eastAsia="宋体" w:cs="宋体"/>
          <w:color w:val="000000"/>
          <w:spacing w:val="3"/>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highlight w:val="none"/>
        </w:rPr>
        <w:t xml:space="preserve">商确定。</w:t>
      </w:r>
      <w:r/>
    </w:p>
    <w:sectPr>
      <w:headerReference w:type="default" r:id="rId14"/>
      <w:headerReference w:type="first" r:id="rId15"/>
      <w:footerReference w:type="default" r:id="rId23"/>
      <w:footerReference w:type="first" r:id="rId24"/>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Light">
    <w:panose1 w:val="020F0302020204030204"/>
  </w:font>
  <w:font w:name="Tahoma">
    <w:panose1 w:val="020B0604030504040204"/>
  </w:font>
  <w:font w:name="楷体_GB2312">
    <w:panose1 w:val="02010609060101010101"/>
  </w:font>
  <w:font w:name="Courier New">
    <w:panose1 w:val="02070309020205020404"/>
  </w:font>
  <w:font w:name="Calibri">
    <w:panose1 w:val="020F0502020204030204"/>
  </w:font>
  <w:font w:name="Cambria">
    <w:panose1 w:val="02040503050406030204"/>
  </w:font>
  <w:font w:name="黑体">
    <w:panose1 w:val="02010609060101010101"/>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039"/>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5"/>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5"/>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eastAsia="仿宋_GB2312"/>
        <w:sz w:val="24"/>
        <w:szCs w:val="18"/>
      </w:rPr>
    </w:pPr>
    <w:r>
      <w:rPr>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14300" cy="147320"/>
              <wp:effectExtent l="0" t="0" r="0" b="0"/>
              <wp:wrapNone/>
              <wp:docPr id="4" name="任意多边形 15"/>
              <wp:cNvGraphicFramePr/>
              <a:graphic xmlns:a="http://schemas.openxmlformats.org/drawingml/2006/main">
                <a:graphicData uri="http://schemas.microsoft.com/office/word/2010/wordprocessingShape">
                  <wps:wsp>
                    <wps:cNvPr id="0" name=""/>
                    <wps:cNvSpPr/>
                    <wps:spPr bwMode="auto">
                      <a:xfrm>
                        <a:off x="0" y="0"/>
                        <a:ext cx="114300" cy="14732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3" o:spid="_x0000_s3" style="position:absolute;z-index:251671552;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14300" cy="147320"/>
              <wp:effectExtent l="0" t="0" r="0" b="0"/>
              <wp:wrapNone/>
              <wp:docPr id="5" name="任意多边形 14"/>
              <wp:cNvGraphicFramePr/>
              <a:graphic xmlns:a="http://schemas.openxmlformats.org/drawingml/2006/main">
                <a:graphicData uri="http://schemas.microsoft.com/office/word/2010/wordprocessingShape">
                  <wps:wsp>
                    <wps:cNvPr id="0" name=""/>
                    <wps:cNvSpPr/>
                    <wps:spPr bwMode="auto">
                      <a:xfrm>
                        <a:off x="0" y="0"/>
                        <a:ext cx="114300" cy="14732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4" o:spid="_x0000_s4" style="position:absolute;z-index:251672576;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任意多边形 1028"/>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5" o:spid="_x0000_s5"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任意多边形 1027"/>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6" o:spid="_x0000_s6"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72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72</w:t>
                    </w:r>
                    <w:r>
                      <w:rPr>
                        <w:rFonts w:hint="eastAsia"/>
                        <w:lang w:eastAsia="zh-CN"/>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71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71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sz w:val="18"/>
        <w:szCs w:val="18"/>
      </w:rPr>
    </w:pPr>
    <w:r>
      <w:rPr>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jc w:val="right"/>
      <w:pBdr>
        <w:bottom w:val="none" w:color="000000" w:sz="0" w:space="1"/>
      </w:pBdr>
    </w:pPr>
    <w:r>
      <w:t xml:space="preserve">                                       </w:t>
    </w:r>
    <w:r/>
  </w:p>
  <w:p>
    <w:pPr>
      <w:pStyle w:val="1234"/>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ind w:right="360"/>
      <w:jc w:val="both"/>
      <w:tabs>
        <w:tab w:val="left" w:pos="6585"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5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1" w:default="1">
    <w:name w:val="Normal"/>
    <w:next w:val="993"/>
    <w:uiPriority w:val="0"/>
    <w:qFormat/>
    <w:rPr>
      <w:rFonts w:hint="default" w:ascii="Times New Roman" w:hAnsi="Times New Roman" w:eastAsia="宋体" w:cs="Times New Roman"/>
    </w:rPr>
  </w:style>
  <w:style w:type="paragraph" w:styleId="982">
    <w:name w:val="Heading 1"/>
    <w:next w:val="981"/>
    <w:link w:val="1067"/>
    <w:uiPriority w:val="9"/>
    <w:qFormat/>
    <w:pPr>
      <w:keepLines/>
      <w:keepNext/>
      <w:spacing w:before="480" w:after="200"/>
      <w:outlineLvl w:val="0"/>
    </w:pPr>
    <w:rPr>
      <w:rFonts w:hint="default" w:ascii="Arial" w:hAnsi="Arial" w:eastAsia="Arial" w:cs="Arial"/>
      <w:sz w:val="40"/>
      <w:szCs w:val="40"/>
    </w:rPr>
  </w:style>
  <w:style w:type="paragraph" w:styleId="983">
    <w:name w:val="Heading 2"/>
    <w:basedOn w:val="981"/>
    <w:next w:val="981"/>
    <w:link w:val="1068"/>
    <w:uiPriority w:val="9"/>
    <w:unhideWhenUsed/>
    <w:qFormat/>
    <w:pPr>
      <w:keepLines/>
      <w:keepNext/>
      <w:spacing w:before="360" w:after="200"/>
      <w:outlineLvl w:val="1"/>
    </w:pPr>
    <w:rPr>
      <w:rFonts w:hint="default" w:ascii="Arial" w:hAnsi="Arial" w:eastAsia="Arial" w:cs="Arial"/>
      <w:sz w:val="34"/>
    </w:rPr>
  </w:style>
  <w:style w:type="paragraph" w:styleId="984">
    <w:name w:val="Heading 3"/>
    <w:basedOn w:val="981"/>
    <w:next w:val="981"/>
    <w:link w:val="1069"/>
    <w:uiPriority w:val="9"/>
    <w:unhideWhenUsed/>
    <w:qFormat/>
    <w:pPr>
      <w:keepLines/>
      <w:keepNext/>
      <w:spacing w:before="320" w:after="200"/>
      <w:outlineLvl w:val="2"/>
    </w:pPr>
    <w:rPr>
      <w:rFonts w:hint="default" w:ascii="Arial" w:hAnsi="Arial" w:eastAsia="Arial" w:cs="Arial"/>
      <w:sz w:val="30"/>
      <w:szCs w:val="30"/>
    </w:rPr>
  </w:style>
  <w:style w:type="paragraph" w:styleId="985">
    <w:name w:val="Heading 4"/>
    <w:basedOn w:val="981"/>
    <w:next w:val="981"/>
    <w:link w:val="1070"/>
    <w:uiPriority w:val="9"/>
    <w:unhideWhenUsed/>
    <w:qFormat/>
    <w:pPr>
      <w:keepLines/>
      <w:keepNext/>
      <w:spacing w:before="320" w:after="200"/>
      <w:outlineLvl w:val="3"/>
    </w:pPr>
    <w:rPr>
      <w:rFonts w:hint="default" w:ascii="Arial" w:hAnsi="Arial" w:eastAsia="Arial" w:cs="Arial"/>
      <w:b/>
      <w:bCs/>
      <w:sz w:val="26"/>
      <w:szCs w:val="26"/>
    </w:rPr>
  </w:style>
  <w:style w:type="paragraph" w:styleId="986">
    <w:name w:val="Heading 5"/>
    <w:basedOn w:val="981"/>
    <w:next w:val="981"/>
    <w:link w:val="1071"/>
    <w:uiPriority w:val="9"/>
    <w:unhideWhenUsed/>
    <w:qFormat/>
    <w:pPr>
      <w:keepLines/>
      <w:keepNext/>
      <w:spacing w:before="320" w:after="200"/>
      <w:outlineLvl w:val="4"/>
    </w:pPr>
    <w:rPr>
      <w:rFonts w:hint="default" w:ascii="Arial" w:hAnsi="Arial" w:eastAsia="Arial" w:cs="Arial"/>
      <w:b/>
      <w:bCs/>
      <w:sz w:val="24"/>
      <w:szCs w:val="24"/>
    </w:rPr>
  </w:style>
  <w:style w:type="paragraph" w:styleId="987">
    <w:name w:val="Heading 6"/>
    <w:next w:val="981"/>
    <w:link w:val="1072"/>
    <w:uiPriority w:val="9"/>
    <w:unhideWhenUsed/>
    <w:qFormat/>
    <w:pPr>
      <w:keepLines/>
      <w:keepNext/>
      <w:spacing w:before="320" w:after="200"/>
      <w:outlineLvl w:val="5"/>
    </w:pPr>
    <w:rPr>
      <w:rFonts w:hint="default" w:ascii="Arial" w:hAnsi="Arial" w:eastAsia="Arial" w:cs="Arial"/>
      <w:b/>
      <w:bCs/>
      <w:sz w:val="22"/>
      <w:szCs w:val="22"/>
    </w:rPr>
  </w:style>
  <w:style w:type="paragraph" w:styleId="988">
    <w:name w:val="Heading 7"/>
    <w:next w:val="981"/>
    <w:link w:val="1073"/>
    <w:uiPriority w:val="9"/>
    <w:unhideWhenUsed/>
    <w:qFormat/>
    <w:pPr>
      <w:keepLines/>
      <w:keepNext/>
      <w:spacing w:before="320" w:after="200"/>
      <w:outlineLvl w:val="6"/>
    </w:pPr>
    <w:rPr>
      <w:rFonts w:hint="default" w:ascii="Arial" w:hAnsi="Arial" w:eastAsia="Arial" w:cs="Arial"/>
      <w:b/>
      <w:bCs/>
      <w:i/>
      <w:iCs/>
      <w:sz w:val="22"/>
      <w:szCs w:val="22"/>
    </w:rPr>
  </w:style>
  <w:style w:type="paragraph" w:styleId="989">
    <w:name w:val="Heading 8"/>
    <w:next w:val="981"/>
    <w:link w:val="1074"/>
    <w:uiPriority w:val="9"/>
    <w:unhideWhenUsed/>
    <w:qFormat/>
    <w:pPr>
      <w:keepLines/>
      <w:keepNext/>
      <w:spacing w:before="320" w:after="200"/>
      <w:outlineLvl w:val="7"/>
    </w:pPr>
    <w:rPr>
      <w:rFonts w:hint="default" w:ascii="Arial" w:hAnsi="Arial" w:eastAsia="Arial" w:cs="Arial"/>
      <w:i/>
      <w:iCs/>
      <w:sz w:val="22"/>
      <w:szCs w:val="22"/>
    </w:rPr>
  </w:style>
  <w:style w:type="paragraph" w:styleId="990">
    <w:name w:val="Heading 9"/>
    <w:next w:val="981"/>
    <w:link w:val="1075"/>
    <w:uiPriority w:val="9"/>
    <w:unhideWhenUsed/>
    <w:qFormat/>
    <w:pPr>
      <w:keepLines/>
      <w:keepNext/>
      <w:spacing w:before="320" w:after="200"/>
      <w:outlineLvl w:val="8"/>
    </w:pPr>
    <w:rPr>
      <w:rFonts w:hint="default" w:ascii="Arial" w:hAnsi="Arial" w:eastAsia="Arial" w:cs="Arial"/>
      <w:i/>
      <w:iCs/>
      <w:sz w:val="21"/>
      <w:szCs w:val="21"/>
    </w:rPr>
  </w:style>
  <w:style w:type="character" w:styleId="991" w:default="1">
    <w:name w:val="Default Paragraph Font"/>
    <w:uiPriority w:val="1"/>
    <w:semiHidden/>
    <w:unhideWhenUsed/>
    <w:qFormat/>
  </w:style>
  <w:style w:type="table" w:styleId="992" w:default="1">
    <w:name w:val="Normal Table"/>
    <w:uiPriority w:val="99"/>
    <w:semiHidden/>
    <w:unhideWhenUsed/>
    <w:qFormat/>
    <w:tblPr>
      <w:tblCellMar>
        <w:left w:w="108" w:type="dxa"/>
        <w:top w:w="0" w:type="dxa"/>
        <w:right w:w="108" w:type="dxa"/>
        <w:bottom w:w="0" w:type="dxa"/>
      </w:tblCellMar>
    </w:tblPr>
  </w:style>
  <w:style w:type="paragraph" w:styleId="993" w:customStyle="1">
    <w:name w:val="正文文本缩进1"/>
    <w:basedOn w:val="994"/>
    <w:next w:val="1008"/>
    <w:link w:val="1228"/>
    <w:uiPriority w:val="0"/>
    <w:qFormat/>
    <w:pPr>
      <w:ind w:left="420"/>
      <w:spacing w:after="120"/>
    </w:pPr>
  </w:style>
  <w:style w:type="paragraph" w:styleId="994" w:customStyle="1">
    <w:name w:val="正文1"/>
    <w:basedOn w:val="995"/>
    <w:next w:val="996"/>
    <w:link w:val="12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5" w:customStyle="1">
    <w:name w:val="正文111"/>
    <w:next w:val="9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目录 11"/>
    <w:basedOn w:val="997"/>
    <w:next w:val="1003"/>
    <w:uiPriority w:val="0"/>
    <w:qFormat/>
  </w:style>
  <w:style w:type="paragraph" w:styleId="997" w:customStyle="1">
    <w:name w:val="正文112"/>
    <w:next w:val="9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8" w:customStyle="1">
    <w:name w:val="正文首行缩进1"/>
    <w:basedOn w:val="999"/>
    <w:next w:val="1005"/>
    <w:uiPriority w:val="0"/>
    <w:qFormat/>
    <w:pPr>
      <w:ind w:firstLine="200"/>
      <w:spacing w:line="360" w:lineRule="auto"/>
    </w:pPr>
    <w:rPr>
      <w:rFonts w:ascii="仿宋_GB2312" w:eastAsia="仿宋_GB2312"/>
      <w:sz w:val="30"/>
      <w:szCs w:val="30"/>
    </w:rPr>
  </w:style>
  <w:style w:type="paragraph" w:styleId="999" w:customStyle="1">
    <w:name w:val="正文文本11"/>
    <w:basedOn w:val="1000"/>
    <w:next w:val="995"/>
    <w:uiPriority w:val="0"/>
    <w:qFormat/>
    <w:pPr>
      <w:spacing w:after="120"/>
    </w:pPr>
  </w:style>
  <w:style w:type="paragraph" w:styleId="1000" w:customStyle="1">
    <w:name w:val="正文11"/>
    <w:next w:val="1001"/>
    <w:link w:val="12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文本块1"/>
    <w:basedOn w:val="995"/>
    <w:next w:val="1002"/>
    <w:uiPriority w:val="0"/>
    <w:qFormat/>
    <w:pPr>
      <w:ind w:left="567" w:right="454" w:firstLine="498"/>
      <w:jc w:val="left"/>
      <w:widowControl/>
    </w:pPr>
    <w:rPr>
      <w:rFonts w:ascii="仿宋_GB2312" w:eastAsia="仿宋_GB2312"/>
      <w:sz w:val="30"/>
      <w:szCs w:val="20"/>
    </w:rPr>
  </w:style>
  <w:style w:type="paragraph" w:styleId="1002" w:customStyle="1">
    <w:name w:val="标题 41"/>
    <w:basedOn w:val="1003"/>
    <w:next w:val="1000"/>
    <w:uiPriority w:val="0"/>
    <w:qFormat/>
    <w:pPr>
      <w:keepLines/>
      <w:keepNext/>
      <w:spacing w:before="280" w:after="290" w:line="372" w:lineRule="auto"/>
      <w:outlineLvl w:val="3"/>
    </w:pPr>
    <w:rPr>
      <w:rFonts w:ascii="Cambria" w:hAnsi="Cambria" w:eastAsia="宋体"/>
      <w:b/>
      <w:bCs/>
      <w:sz w:val="28"/>
      <w:szCs w:val="28"/>
    </w:rPr>
  </w:style>
  <w:style w:type="paragraph" w:styleId="1003" w:customStyle="1">
    <w:name w:val="正文12"/>
    <w:next w:val="1004"/>
    <w:uiPriority w:val="0"/>
    <w:qFormat/>
    <w:pPr>
      <w:jc w:val="both"/>
      <w:widowControl w:val="off"/>
    </w:pPr>
    <w:rPr>
      <w:rFonts w:hint="default" w:ascii="Calibri" w:hAnsi="Calibri" w:eastAsia="Calibri" w:cs="Times New Roman"/>
      <w:sz w:val="21"/>
      <w:szCs w:val="24"/>
      <w:lang w:val="en-US" w:eastAsia="zh-CN" w:bidi="ar-SA"/>
    </w:rPr>
  </w:style>
  <w:style w:type="paragraph" w:styleId="1004" w:customStyle="1">
    <w:name w:val="无间隔1"/>
    <w:uiPriority w:val="0"/>
    <w:qFormat/>
    <w:rPr>
      <w:rFonts w:hint="default" w:ascii="Calibri" w:hAnsi="Calibri" w:eastAsia="宋体" w:cs="Times New Roman"/>
      <w:sz w:val="22"/>
      <w:lang w:val="en-US" w:eastAsia="zh-CN" w:bidi="ar-SA"/>
    </w:rPr>
  </w:style>
  <w:style w:type="paragraph" w:styleId="1005" w:customStyle="1">
    <w:name w:val="正文首行缩进 211"/>
    <w:basedOn w:val="1006"/>
    <w:next w:val="997"/>
    <w:uiPriority w:val="99"/>
    <w:qFormat/>
    <w:pPr>
      <w:ind w:left="0" w:firstLine="420"/>
      <w:spacing w:after="0" w:line="360" w:lineRule="auto"/>
    </w:pPr>
    <w:rPr>
      <w:rFonts w:ascii="宋体" w:hAnsi="宋体"/>
    </w:rPr>
  </w:style>
  <w:style w:type="paragraph" w:styleId="1006" w:customStyle="1">
    <w:name w:val="正文文本缩进11"/>
    <w:basedOn w:val="995"/>
    <w:next w:val="1007"/>
    <w:uiPriority w:val="99"/>
    <w:qFormat/>
    <w:pPr>
      <w:ind w:left="420"/>
      <w:spacing w:after="120"/>
    </w:pPr>
  </w:style>
  <w:style w:type="paragraph" w:styleId="1007" w:customStyle="1">
    <w:name w:val="寄信人地址11"/>
    <w:basedOn w:val="981"/>
    <w:uiPriority w:val="0"/>
    <w:qFormat/>
    <w:rPr>
      <w:rFonts w:ascii="Arial" w:hAnsi="Arial"/>
    </w:rPr>
  </w:style>
  <w:style w:type="paragraph" w:styleId="1008" w:customStyle="1">
    <w:name w:val="寄信人地址1"/>
    <w:basedOn w:val="1000"/>
    <w:uiPriority w:val="0"/>
    <w:qFormat/>
    <w:rPr>
      <w:rFonts w:ascii="Arial" w:hAnsi="Arial"/>
    </w:rPr>
  </w:style>
  <w:style w:type="paragraph" w:styleId="1009">
    <w:name w:val="toc 7"/>
    <w:next w:val="981"/>
    <w:uiPriority w:val="39"/>
    <w:unhideWhenUsed/>
    <w:qFormat/>
    <w:pPr>
      <w:ind w:left="1701" w:right="0" w:firstLine="0"/>
      <w:spacing w:after="57"/>
    </w:pPr>
    <w:rPr>
      <w:rFonts w:hint="default" w:ascii="Times New Roman" w:hAnsi="Times New Roman" w:eastAsia="宋体" w:cs="Times New Roman"/>
    </w:rPr>
  </w:style>
  <w:style w:type="paragraph" w:styleId="1010">
    <w:name w:val="Caption"/>
    <w:next w:val="981"/>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1011">
    <w:name w:val="index 5"/>
    <w:basedOn w:val="981"/>
    <w:next w:val="981"/>
    <w:uiPriority w:val="0"/>
    <w:qFormat/>
    <w:pPr>
      <w:ind w:left="798"/>
      <w:jc w:val="left"/>
    </w:pPr>
    <w:rPr>
      <w:rFonts w:ascii="Calibri" w:hAnsi="Calibri"/>
      <w:sz w:val="21"/>
    </w:rPr>
  </w:style>
  <w:style w:type="paragraph" w:styleId="1012">
    <w:name w:val="annotation text"/>
    <w:basedOn w:val="981"/>
    <w:uiPriority w:val="99"/>
    <w:semiHidden/>
    <w:unhideWhenUsed/>
    <w:qFormat/>
    <w:pPr>
      <w:jc w:val="left"/>
    </w:pPr>
  </w:style>
  <w:style w:type="paragraph" w:styleId="1013">
    <w:name w:val="Body Text"/>
    <w:basedOn w:val="981"/>
    <w:next w:val="1014"/>
    <w:uiPriority w:val="0"/>
    <w:qFormat/>
    <w:pPr>
      <w:ind w:left="72" w:right="30"/>
      <w:jc w:val="center"/>
      <w:spacing w:after="60" w:line="360" w:lineRule="atLeast"/>
    </w:pPr>
    <w:rPr>
      <w:szCs w:val="22"/>
    </w:rPr>
  </w:style>
  <w:style w:type="paragraph" w:styleId="1014" w:customStyle="1">
    <w:name w:val="一级条标题"/>
    <w:basedOn w:val="1015"/>
    <w:next w:val="10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5" w:customStyle="1">
    <w:name w:val="章标题"/>
    <w:next w:val="98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6" w:customStyle="1">
    <w:name w:val="段"/>
    <w:basedOn w:val="994"/>
    <w:next w:val="981"/>
    <w:uiPriority w:val="0"/>
    <w:qFormat/>
    <w:pPr>
      <w:ind w:firstLine="200"/>
      <w:widowControl/>
    </w:pPr>
    <w:rPr>
      <w:rFonts w:ascii="宋体"/>
      <w:sz w:val="20"/>
      <w:szCs w:val="20"/>
    </w:rPr>
  </w:style>
  <w:style w:type="paragraph" w:styleId="1017">
    <w:name w:val="Body Text Indent"/>
    <w:basedOn w:val="981"/>
    <w:next w:val="1018"/>
    <w:uiPriority w:val="0"/>
    <w:qFormat/>
    <w:pPr>
      <w:ind w:left="420"/>
      <w:spacing w:after="120"/>
    </w:pPr>
  </w:style>
  <w:style w:type="paragraph" w:styleId="1018">
    <w:name w:val="envelope return"/>
    <w:basedOn w:val="981"/>
    <w:uiPriority w:val="0"/>
    <w:qFormat/>
    <w:rPr>
      <w:rFonts w:ascii="Arial" w:hAnsi="Arial"/>
    </w:rPr>
  </w:style>
  <w:style w:type="paragraph" w:styleId="1019">
    <w:name w:val="Block Text"/>
    <w:basedOn w:val="981"/>
    <w:next w:val="981"/>
    <w:uiPriority w:val="0"/>
    <w:qFormat/>
    <w:pPr>
      <w:ind w:left="256" w:right="6" w:firstLine="624"/>
    </w:pPr>
    <w:rPr>
      <w:rFonts w:eastAsia="仿宋_GB2312"/>
      <w:sz w:val="28"/>
      <w:szCs w:val="20"/>
    </w:rPr>
  </w:style>
  <w:style w:type="paragraph" w:styleId="1020">
    <w:name w:val="toc 5"/>
    <w:next w:val="981"/>
    <w:uiPriority w:val="39"/>
    <w:unhideWhenUsed/>
    <w:qFormat/>
    <w:pPr>
      <w:ind w:left="1134" w:right="0" w:firstLine="0"/>
      <w:spacing w:after="57"/>
    </w:pPr>
    <w:rPr>
      <w:rFonts w:hint="default" w:ascii="Times New Roman" w:hAnsi="Times New Roman" w:eastAsia="宋体" w:cs="Times New Roman"/>
    </w:rPr>
  </w:style>
  <w:style w:type="paragraph" w:styleId="1021">
    <w:name w:val="toc 3"/>
    <w:next w:val="981"/>
    <w:uiPriority w:val="39"/>
    <w:unhideWhenUsed/>
    <w:qFormat/>
    <w:pPr>
      <w:ind w:left="567" w:right="0" w:firstLine="0"/>
      <w:spacing w:after="57"/>
    </w:pPr>
    <w:rPr>
      <w:rFonts w:hint="default" w:ascii="Times New Roman" w:hAnsi="Times New Roman" w:eastAsia="宋体" w:cs="Times New Roman"/>
    </w:rPr>
  </w:style>
  <w:style w:type="paragraph" w:styleId="1022">
    <w:name w:val="Plain Text"/>
    <w:basedOn w:val="981"/>
    <w:uiPriority w:val="99"/>
    <w:qFormat/>
    <w:rPr>
      <w:rFonts w:ascii="宋体" w:hAnsi="Courier New"/>
    </w:rPr>
  </w:style>
  <w:style w:type="paragraph" w:styleId="1023">
    <w:name w:val="toc 8"/>
    <w:next w:val="981"/>
    <w:uiPriority w:val="39"/>
    <w:unhideWhenUsed/>
    <w:qFormat/>
    <w:pPr>
      <w:ind w:left="1984" w:right="0" w:firstLine="0"/>
      <w:spacing w:after="57"/>
    </w:pPr>
    <w:rPr>
      <w:rFonts w:hint="default" w:ascii="Times New Roman" w:hAnsi="Times New Roman" w:eastAsia="宋体" w:cs="Times New Roman"/>
    </w:rPr>
  </w:style>
  <w:style w:type="paragraph" w:styleId="1024">
    <w:name w:val="endnote text"/>
    <w:link w:val="1213"/>
    <w:uiPriority w:val="99"/>
    <w:semiHidden/>
    <w:unhideWhenUsed/>
    <w:qFormat/>
    <w:pPr>
      <w:spacing w:after="0" w:line="240" w:lineRule="auto"/>
    </w:pPr>
    <w:rPr>
      <w:rFonts w:hint="default" w:ascii="Times New Roman" w:hAnsi="Times New Roman" w:eastAsia="宋体" w:cs="Times New Roman"/>
      <w:sz w:val="20"/>
    </w:rPr>
  </w:style>
  <w:style w:type="paragraph" w:styleId="1025">
    <w:name w:val="Footer"/>
    <w:basedOn w:val="981"/>
    <w:link w:val="1086"/>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1026">
    <w:name w:val="Header"/>
    <w:basedOn w:val="981"/>
    <w:link w:val="1084"/>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1027">
    <w:name w:val="toc 1"/>
    <w:basedOn w:val="981"/>
    <w:next w:val="981"/>
    <w:uiPriority w:val="39"/>
    <w:unhideWhenUsed/>
    <w:qFormat/>
    <w:pPr>
      <w:ind w:left="0" w:right="0" w:firstLine="0"/>
      <w:spacing w:after="57"/>
    </w:pPr>
    <w:rPr>
      <w:rFonts w:hint="default" w:ascii="Times New Roman" w:hAnsi="Times New Roman" w:eastAsia="宋体" w:cs="Times New Roman"/>
    </w:rPr>
  </w:style>
  <w:style w:type="paragraph" w:styleId="1028">
    <w:name w:val="toc 4"/>
    <w:next w:val="981"/>
    <w:uiPriority w:val="39"/>
    <w:unhideWhenUsed/>
    <w:qFormat/>
    <w:pPr>
      <w:ind w:left="850" w:right="0" w:firstLine="0"/>
      <w:spacing w:after="57"/>
    </w:pPr>
    <w:rPr>
      <w:rFonts w:hint="default" w:ascii="Times New Roman" w:hAnsi="Times New Roman" w:eastAsia="宋体" w:cs="Times New Roman"/>
    </w:rPr>
  </w:style>
  <w:style w:type="paragraph" w:styleId="1029">
    <w:name w:val="Subtitle"/>
    <w:link w:val="1079"/>
    <w:uiPriority w:val="11"/>
    <w:qFormat/>
    <w:pPr>
      <w:spacing w:before="200" w:after="200"/>
    </w:pPr>
    <w:rPr>
      <w:rFonts w:hint="default" w:ascii="Times New Roman" w:hAnsi="Times New Roman" w:eastAsia="宋体" w:cs="Times New Roman"/>
      <w:sz w:val="24"/>
      <w:szCs w:val="24"/>
    </w:rPr>
  </w:style>
  <w:style w:type="paragraph" w:styleId="1030">
    <w:name w:val="footnote text"/>
    <w:basedOn w:val="981"/>
    <w:next w:val="1011"/>
    <w:link w:val="1212"/>
    <w:uiPriority w:val="99"/>
    <w:semiHidden/>
    <w:unhideWhenUsed/>
    <w:qFormat/>
    <w:pPr>
      <w:spacing w:after="40" w:line="240" w:lineRule="auto"/>
    </w:pPr>
    <w:rPr>
      <w:rFonts w:hint="default" w:ascii="Times New Roman" w:hAnsi="Times New Roman" w:eastAsia="宋体" w:cs="Times New Roman"/>
      <w:sz w:val="18"/>
    </w:rPr>
  </w:style>
  <w:style w:type="paragraph" w:styleId="1031">
    <w:name w:val="toc 6"/>
    <w:next w:val="981"/>
    <w:uiPriority w:val="39"/>
    <w:unhideWhenUsed/>
    <w:qFormat/>
    <w:pPr>
      <w:ind w:left="1417" w:right="0" w:firstLine="0"/>
      <w:spacing w:after="57"/>
    </w:pPr>
    <w:rPr>
      <w:rFonts w:hint="default" w:ascii="Times New Roman" w:hAnsi="Times New Roman" w:eastAsia="宋体" w:cs="Times New Roman"/>
    </w:rPr>
  </w:style>
  <w:style w:type="paragraph" w:styleId="1032">
    <w:name w:val="table of figures"/>
    <w:next w:val="981"/>
    <w:uiPriority w:val="99"/>
    <w:unhideWhenUsed/>
    <w:qFormat/>
    <w:pPr>
      <w:spacing w:after="0" w:afterAutospacing="0"/>
    </w:pPr>
    <w:rPr>
      <w:rFonts w:hint="default" w:ascii="Times New Roman" w:hAnsi="Times New Roman" w:eastAsia="宋体" w:cs="Times New Roman"/>
    </w:rPr>
  </w:style>
  <w:style w:type="paragraph" w:styleId="1033">
    <w:name w:val="toc 2"/>
    <w:next w:val="981"/>
    <w:uiPriority w:val="39"/>
    <w:unhideWhenUsed/>
    <w:qFormat/>
    <w:pPr>
      <w:ind w:left="283" w:right="0" w:firstLine="0"/>
      <w:spacing w:after="57"/>
    </w:pPr>
    <w:rPr>
      <w:rFonts w:hint="default" w:ascii="Times New Roman" w:hAnsi="Times New Roman" w:eastAsia="宋体" w:cs="Times New Roman"/>
    </w:rPr>
  </w:style>
  <w:style w:type="paragraph" w:styleId="1034">
    <w:name w:val="toc 9"/>
    <w:next w:val="981"/>
    <w:uiPriority w:val="39"/>
    <w:unhideWhenUsed/>
    <w:qFormat/>
    <w:pPr>
      <w:ind w:left="2268" w:right="0" w:firstLine="0"/>
      <w:spacing w:after="57"/>
    </w:pPr>
    <w:rPr>
      <w:rFonts w:hint="default" w:ascii="Times New Roman" w:hAnsi="Times New Roman" w:eastAsia="宋体" w:cs="Times New Roman"/>
    </w:rPr>
  </w:style>
  <w:style w:type="paragraph" w:styleId="1035">
    <w:name w:val="Body Text 2"/>
    <w:basedOn w:val="981"/>
    <w:uiPriority w:val="0"/>
    <w:qFormat/>
    <w:pPr>
      <w:jc w:val="center"/>
      <w:widowControl/>
    </w:pPr>
    <w:rPr>
      <w:rFonts w:ascii="楷体_GB2312" w:eastAsia="楷体_GB2312"/>
      <w:sz w:val="28"/>
      <w:szCs w:val="28"/>
    </w:rPr>
  </w:style>
  <w:style w:type="paragraph" w:styleId="1036">
    <w:name w:val="Normal (Web)"/>
    <w:basedOn w:val="981"/>
    <w:uiPriority w:val="99"/>
    <w:qFormat/>
    <w:pPr>
      <w:jc w:val="left"/>
      <w:spacing w:before="100" w:beforeAutospacing="1" w:after="100" w:afterAutospacing="1"/>
      <w:widowControl/>
    </w:pPr>
    <w:rPr>
      <w:rFonts w:ascii="宋体" w:hAnsi="宋体" w:cs="宋体"/>
      <w:sz w:val="24"/>
    </w:rPr>
  </w:style>
  <w:style w:type="paragraph" w:styleId="1037">
    <w:name w:val="Title"/>
    <w:link w:val="1078"/>
    <w:uiPriority w:val="10"/>
    <w:qFormat/>
    <w:pPr>
      <w:contextualSpacing/>
      <w:spacing w:before="300" w:after="200"/>
    </w:pPr>
    <w:rPr>
      <w:rFonts w:hint="default" w:ascii="Times New Roman" w:hAnsi="Times New Roman" w:eastAsia="宋体" w:cs="Times New Roman"/>
      <w:sz w:val="48"/>
      <w:szCs w:val="48"/>
    </w:rPr>
  </w:style>
  <w:style w:type="paragraph" w:styleId="1038">
    <w:name w:val="Body Text First Indent"/>
    <w:basedOn w:val="1013"/>
    <w:uiPriority w:val="0"/>
    <w:qFormat/>
    <w:pPr>
      <w:ind w:firstLine="200"/>
      <w:spacing w:line="360" w:lineRule="auto"/>
    </w:pPr>
    <w:rPr>
      <w:rFonts w:ascii="仿宋_GB2312" w:eastAsia="仿宋_GB2312"/>
      <w:sz w:val="30"/>
      <w:szCs w:val="30"/>
    </w:rPr>
  </w:style>
  <w:style w:type="paragraph" w:styleId="1039">
    <w:name w:val="Body Text First Indent 2"/>
    <w:basedOn w:val="1017"/>
    <w:uiPriority w:val="99"/>
    <w:qFormat/>
    <w:pPr>
      <w:ind w:left="0" w:firstLine="420"/>
      <w:spacing w:after="0" w:line="360" w:lineRule="auto"/>
    </w:pPr>
    <w:rPr>
      <w:rFonts w:ascii="宋体" w:hAnsi="宋体"/>
    </w:rPr>
  </w:style>
  <w:style w:type="table" w:styleId="10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1">
    <w:name w:val="endnote reference"/>
    <w:uiPriority w:val="99"/>
    <w:semiHidden/>
    <w:unhideWhenUsed/>
    <w:qFormat/>
    <w:rPr>
      <w:vertAlign w:val="superscript"/>
    </w:rPr>
  </w:style>
  <w:style w:type="character" w:styleId="1042">
    <w:name w:val="page number"/>
    <w:basedOn w:val="991"/>
    <w:uiPriority w:val="0"/>
    <w:qFormat/>
  </w:style>
  <w:style w:type="character" w:styleId="1043">
    <w:name w:val="FollowedHyperlink"/>
    <w:basedOn w:val="991"/>
    <w:uiPriority w:val="99"/>
    <w:semiHidden/>
    <w:unhideWhenUsed/>
    <w:qFormat/>
    <w:rPr>
      <w:color w:val="800080"/>
      <w:u w:val="none"/>
    </w:rPr>
  </w:style>
  <w:style w:type="character" w:styleId="1044">
    <w:name w:val="HTML Definition"/>
    <w:basedOn w:val="991"/>
    <w:uiPriority w:val="99"/>
    <w:semiHidden/>
    <w:unhideWhenUsed/>
    <w:qFormat/>
  </w:style>
  <w:style w:type="character" w:styleId="1045">
    <w:name w:val="HTML Typewriter"/>
    <w:basedOn w:val="991"/>
    <w:uiPriority w:val="99"/>
    <w:semiHidden/>
    <w:unhideWhenUsed/>
    <w:qFormat/>
    <w:rPr>
      <w:rFonts w:hint="default" w:ascii="monospace" w:hAnsi="monospace" w:eastAsia="monospace" w:cs="monospace"/>
      <w:sz w:val="20"/>
    </w:rPr>
  </w:style>
  <w:style w:type="character" w:styleId="1046">
    <w:name w:val="HTML Acronym"/>
    <w:basedOn w:val="991"/>
    <w:uiPriority w:val="99"/>
    <w:semiHidden/>
    <w:unhideWhenUsed/>
    <w:qFormat/>
  </w:style>
  <w:style w:type="character" w:styleId="1047">
    <w:name w:val="HTML Variable"/>
    <w:basedOn w:val="991"/>
    <w:uiPriority w:val="99"/>
    <w:semiHidden/>
    <w:unhideWhenUsed/>
    <w:qFormat/>
  </w:style>
  <w:style w:type="character" w:styleId="1048">
    <w:name w:val="Hyperlink"/>
    <w:uiPriority w:val="99"/>
    <w:unhideWhenUsed/>
    <w:qFormat/>
    <w:rPr>
      <w:color w:val="0000ff" w:themeColor="hyperlink"/>
      <w:u w:val="single"/>
      <w14:textFill>
        <w14:solidFill>
          <w14:schemeClr w14:val="hlink"/>
        </w14:solidFill>
      </w14:textFill>
    </w:rPr>
  </w:style>
  <w:style w:type="character" w:styleId="1049">
    <w:name w:val="HTML Code"/>
    <w:basedOn w:val="991"/>
    <w:uiPriority w:val="99"/>
    <w:semiHidden/>
    <w:unhideWhenUsed/>
    <w:qFormat/>
    <w:rPr>
      <w:rFonts w:hint="default" w:ascii="monospace" w:hAnsi="monospace" w:eastAsia="monospace" w:cs="monospace"/>
      <w:sz w:val="20"/>
    </w:rPr>
  </w:style>
  <w:style w:type="character" w:styleId="1050">
    <w:name w:val="HTML Cite"/>
    <w:basedOn w:val="991"/>
    <w:uiPriority w:val="99"/>
    <w:semiHidden/>
    <w:unhideWhenUsed/>
    <w:qFormat/>
  </w:style>
  <w:style w:type="character" w:styleId="1051">
    <w:name w:val="footnote reference"/>
    <w:uiPriority w:val="99"/>
    <w:unhideWhenUsed/>
    <w:qFormat/>
    <w:rPr>
      <w:vertAlign w:val="superscript"/>
    </w:rPr>
  </w:style>
  <w:style w:type="character" w:styleId="1052">
    <w:name w:val="HTML Keyboard"/>
    <w:basedOn w:val="991"/>
    <w:uiPriority w:val="99"/>
    <w:semiHidden/>
    <w:unhideWhenUsed/>
    <w:qFormat/>
    <w:rPr>
      <w:rFonts w:ascii="monospace" w:hAnsi="monospace" w:eastAsia="monospace" w:cs="monospace"/>
      <w:sz w:val="20"/>
    </w:rPr>
  </w:style>
  <w:style w:type="character" w:styleId="1053">
    <w:name w:val="HTML Sample"/>
    <w:basedOn w:val="991"/>
    <w:uiPriority w:val="99"/>
    <w:semiHidden/>
    <w:unhideWhenUsed/>
    <w:qFormat/>
    <w:rPr>
      <w:rFonts w:hint="default" w:ascii="monospace" w:hAnsi="monospace" w:eastAsia="monospace" w:cs="monospace"/>
    </w:rPr>
  </w:style>
  <w:style w:type="paragraph" w:styleId="1054" w:customStyle="1">
    <w:name w:val="标题 21"/>
    <w:basedOn w:val="1003"/>
    <w:next w:val="981"/>
    <w:link w:val="1227"/>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55" w:customStyle="1">
    <w:name w:val="脚注文本1"/>
    <w:basedOn w:val="994"/>
    <w:next w:val="1056"/>
    <w:uiPriority w:val="0"/>
    <w:qFormat/>
    <w:rPr>
      <w:sz w:val="18"/>
      <w:szCs w:val="18"/>
    </w:rPr>
  </w:style>
  <w:style w:type="paragraph" w:styleId="1056" w:customStyle="1">
    <w:name w:val="索引 51"/>
    <w:basedOn w:val="1003"/>
    <w:next w:val="994"/>
    <w:uiPriority w:val="0"/>
    <w:qFormat/>
    <w:pPr>
      <w:ind w:left="798"/>
      <w:jc w:val="left"/>
    </w:pPr>
  </w:style>
  <w:style w:type="paragraph" w:styleId="1057" w:customStyle="1">
    <w:name w:val="正文首行缩进 21"/>
    <w:basedOn w:val="993"/>
    <w:next w:val="995"/>
    <w:link w:val="1231"/>
    <w:uiPriority w:val="0"/>
    <w:qFormat/>
    <w:pPr>
      <w:ind w:firstLine="420"/>
    </w:pPr>
  </w:style>
  <w:style w:type="paragraph" w:styleId="1058" w:customStyle="1">
    <w:name w:val="正文文本1"/>
    <w:basedOn w:val="995"/>
    <w:next w:val="1014"/>
    <w:uiPriority w:val="0"/>
    <w:qFormat/>
    <w:pPr>
      <w:spacing w:after="120"/>
    </w:pPr>
  </w:style>
  <w:style w:type="paragraph" w:styleId="1059" w:customStyle="1">
    <w:name w:val="正文首行缩进11"/>
    <w:basedOn w:val="1058"/>
    <w:next w:val="1005"/>
    <w:uiPriority w:val="0"/>
    <w:qFormat/>
    <w:pPr>
      <w:ind w:firstLine="200"/>
      <w:spacing w:line="360" w:lineRule="auto"/>
      <w:tabs>
        <w:tab w:val="left" w:pos="420" w:leader="none"/>
      </w:tabs>
    </w:pPr>
    <w:rPr>
      <w:rFonts w:ascii="仿宋_GB2312" w:hAnsi="Calibri" w:eastAsia="仿宋_GB2312"/>
      <w:sz w:val="30"/>
      <w:szCs w:val="30"/>
    </w:rPr>
  </w:style>
  <w:style w:type="paragraph" w:styleId="1060" w:customStyle="1">
    <w:name w:val="正文缩进1"/>
    <w:basedOn w:val="1000"/>
    <w:next w:val="1000"/>
    <w:uiPriority w:val="0"/>
    <w:qFormat/>
    <w:pPr>
      <w:ind w:firstLine="420"/>
    </w:pPr>
  </w:style>
  <w:style w:type="paragraph" w:styleId="1061" w:customStyle="1">
    <w:name w:val="正文文本111"/>
    <w:basedOn w:val="1003"/>
    <w:next w:val="1003"/>
    <w:uiPriority w:val="0"/>
    <w:qFormat/>
  </w:style>
  <w:style w:type="paragraph" w:styleId="1062" w:customStyle="1">
    <w:name w:val="文本块11"/>
    <w:basedOn w:val="1003"/>
    <w:uiPriority w:val="0"/>
    <w:qFormat/>
    <w:pPr>
      <w:ind w:left="420" w:right="33"/>
      <w:jc w:val="left"/>
    </w:pPr>
    <w:rPr>
      <w:sz w:val="24"/>
      <w:szCs w:val="20"/>
    </w:rPr>
  </w:style>
  <w:style w:type="paragraph" w:styleId="1063" w:customStyle="1">
    <w:name w:val="首行缩进"/>
    <w:basedOn w:val="994"/>
    <w:uiPriority w:val="0"/>
    <w:qFormat/>
    <w:pPr>
      <w:ind w:left="0" w:firstLine="200"/>
      <w:jc w:val="both"/>
      <w:widowControl w:val="off"/>
    </w:pPr>
    <w:rPr>
      <w:rFonts w:ascii="Times New Roman" w:cs="Times New Roman"/>
      <w:sz w:val="20"/>
    </w:rPr>
  </w:style>
  <w:style w:type="paragraph" w:styleId="1064" w:customStyle="1">
    <w:name w:val="无间隔11"/>
    <w:uiPriority w:val="0"/>
    <w:qFormat/>
    <w:rPr>
      <w:rFonts w:hint="default" w:ascii="Times New Roman" w:hAnsi="Times New Roman" w:eastAsia="宋体" w:cs="Times New Roman"/>
      <w:sz w:val="22"/>
      <w:szCs w:val="22"/>
      <w:lang w:val="en-US" w:eastAsia="en-US" w:bidi="ar-SA"/>
    </w:rPr>
  </w:style>
  <w:style w:type="paragraph" w:styleId="1065" w:customStyle="1">
    <w:name w:val="标题1"/>
    <w:basedOn w:val="981"/>
    <w:next w:val="1066"/>
    <w:uiPriority w:val="10"/>
    <w:qFormat/>
    <w:pPr>
      <w:contextualSpacing/>
      <w:spacing w:before="300"/>
    </w:pPr>
    <w:rPr>
      <w:sz w:val="48"/>
      <w:szCs w:val="48"/>
    </w:rPr>
  </w:style>
  <w:style w:type="paragraph" w:styleId="1066" w:customStyle="1">
    <w:name w:val="纯文本1"/>
    <w:basedOn w:val="1003"/>
    <w:link w:val="1220"/>
    <w:uiPriority w:val="0"/>
    <w:qFormat/>
    <w:rPr>
      <w:rFonts w:ascii="宋体" w:hAnsi="Courier New"/>
      <w:sz w:val="21"/>
      <w:szCs w:val="21"/>
    </w:rPr>
  </w:style>
  <w:style w:type="character" w:styleId="1067" w:customStyle="1">
    <w:name w:val="Heading 1 Char"/>
    <w:link w:val="982"/>
    <w:uiPriority w:val="9"/>
    <w:qFormat/>
    <w:rPr>
      <w:rFonts w:ascii="Arial" w:hAnsi="Arial" w:eastAsia="Arial" w:cs="Arial"/>
      <w:sz w:val="40"/>
      <w:szCs w:val="40"/>
    </w:rPr>
  </w:style>
  <w:style w:type="character" w:styleId="1068" w:customStyle="1">
    <w:name w:val="Heading 2 Char"/>
    <w:link w:val="983"/>
    <w:uiPriority w:val="9"/>
    <w:qFormat/>
    <w:rPr>
      <w:rFonts w:ascii="Arial" w:hAnsi="Arial" w:eastAsia="Arial" w:cs="Arial"/>
      <w:sz w:val="34"/>
    </w:rPr>
  </w:style>
  <w:style w:type="character" w:styleId="1069" w:customStyle="1">
    <w:name w:val="Heading 3 Char"/>
    <w:link w:val="984"/>
    <w:uiPriority w:val="9"/>
    <w:qFormat/>
    <w:rPr>
      <w:rFonts w:ascii="Arial" w:hAnsi="Arial" w:eastAsia="Arial" w:cs="Arial"/>
      <w:sz w:val="30"/>
      <w:szCs w:val="30"/>
    </w:rPr>
  </w:style>
  <w:style w:type="character" w:styleId="1070" w:customStyle="1">
    <w:name w:val="Heading 4 Char"/>
    <w:link w:val="985"/>
    <w:uiPriority w:val="9"/>
    <w:qFormat/>
    <w:rPr>
      <w:rFonts w:ascii="Arial" w:hAnsi="Arial" w:eastAsia="Arial" w:cs="Arial"/>
      <w:b/>
      <w:bCs/>
      <w:sz w:val="26"/>
      <w:szCs w:val="26"/>
    </w:rPr>
  </w:style>
  <w:style w:type="character" w:styleId="1071" w:customStyle="1">
    <w:name w:val="Heading 5 Char"/>
    <w:link w:val="986"/>
    <w:uiPriority w:val="9"/>
    <w:qFormat/>
    <w:rPr>
      <w:rFonts w:ascii="Arial" w:hAnsi="Arial" w:eastAsia="Arial" w:cs="Arial"/>
      <w:b/>
      <w:bCs/>
      <w:sz w:val="24"/>
      <w:szCs w:val="24"/>
    </w:rPr>
  </w:style>
  <w:style w:type="character" w:styleId="1072" w:customStyle="1">
    <w:name w:val="Heading 6 Char"/>
    <w:link w:val="987"/>
    <w:uiPriority w:val="9"/>
    <w:qFormat/>
    <w:rPr>
      <w:rFonts w:ascii="Arial" w:hAnsi="Arial" w:eastAsia="Arial" w:cs="Arial"/>
      <w:b/>
      <w:bCs/>
      <w:sz w:val="22"/>
      <w:szCs w:val="22"/>
    </w:rPr>
  </w:style>
  <w:style w:type="character" w:styleId="1073" w:customStyle="1">
    <w:name w:val="Heading 7 Char"/>
    <w:link w:val="988"/>
    <w:uiPriority w:val="9"/>
    <w:qFormat/>
    <w:rPr>
      <w:rFonts w:ascii="Arial" w:hAnsi="Arial" w:eastAsia="Arial" w:cs="Arial"/>
      <w:b/>
      <w:bCs/>
      <w:i/>
      <w:iCs/>
      <w:sz w:val="22"/>
      <w:szCs w:val="22"/>
    </w:rPr>
  </w:style>
  <w:style w:type="character" w:styleId="1074" w:customStyle="1">
    <w:name w:val="Heading 8 Char"/>
    <w:link w:val="989"/>
    <w:uiPriority w:val="9"/>
    <w:qFormat/>
    <w:rPr>
      <w:rFonts w:ascii="Arial" w:hAnsi="Arial" w:eastAsia="Arial" w:cs="Arial"/>
      <w:i/>
      <w:iCs/>
      <w:sz w:val="22"/>
      <w:szCs w:val="22"/>
    </w:rPr>
  </w:style>
  <w:style w:type="character" w:styleId="1075" w:customStyle="1">
    <w:name w:val="Heading 9 Char"/>
    <w:link w:val="990"/>
    <w:uiPriority w:val="9"/>
    <w:qFormat/>
    <w:rPr>
      <w:rFonts w:ascii="Arial" w:hAnsi="Arial" w:eastAsia="Arial" w:cs="Arial"/>
      <w:i/>
      <w:iCs/>
      <w:sz w:val="21"/>
      <w:szCs w:val="21"/>
    </w:rPr>
  </w:style>
  <w:style w:type="paragraph" w:styleId="1076">
    <w:name w:val="List Paragraph"/>
    <w:basedOn w:val="981"/>
    <w:uiPriority w:val="34"/>
    <w:qFormat/>
    <w:pPr>
      <w:contextualSpacing/>
      <w:ind w:left="720"/>
    </w:pPr>
    <w:rPr>
      <w:rFonts w:hint="default" w:ascii="Times New Roman" w:hAnsi="Times New Roman" w:eastAsia="宋体" w:cs="Times New Roman"/>
    </w:rPr>
  </w:style>
  <w:style w:type="paragraph" w:styleId="1077">
    <w:name w:val="No Spacing"/>
    <w:uiPriority w:val="1"/>
    <w:qFormat/>
    <w:pPr>
      <w:spacing w:before="0" w:after="0" w:line="240" w:lineRule="auto"/>
    </w:pPr>
    <w:rPr>
      <w:rFonts w:hint="default" w:ascii="Times New Roman" w:hAnsi="Times New Roman" w:eastAsia="宋体" w:cs="Times New Roman"/>
    </w:rPr>
  </w:style>
  <w:style w:type="character" w:styleId="1078" w:customStyle="1">
    <w:name w:val="Title Char"/>
    <w:link w:val="1037"/>
    <w:uiPriority w:val="10"/>
    <w:qFormat/>
    <w:rPr>
      <w:sz w:val="48"/>
      <w:szCs w:val="48"/>
    </w:rPr>
  </w:style>
  <w:style w:type="character" w:styleId="1079" w:customStyle="1">
    <w:name w:val="Subtitle Char"/>
    <w:link w:val="1029"/>
    <w:uiPriority w:val="11"/>
    <w:qFormat/>
    <w:rPr>
      <w:sz w:val="24"/>
      <w:szCs w:val="24"/>
    </w:rPr>
  </w:style>
  <w:style w:type="paragraph" w:styleId="1080">
    <w:name w:val="Quote"/>
    <w:link w:val="1081"/>
    <w:uiPriority w:val="29"/>
    <w:qFormat/>
    <w:pPr>
      <w:ind w:left="720" w:right="720"/>
    </w:pPr>
    <w:rPr>
      <w:rFonts w:hint="default" w:ascii="Times New Roman" w:hAnsi="Times New Roman" w:eastAsia="宋体" w:cs="Times New Roman"/>
      <w:i/>
    </w:rPr>
  </w:style>
  <w:style w:type="character" w:styleId="1081" w:customStyle="1">
    <w:name w:val="Quote Char"/>
    <w:link w:val="1080"/>
    <w:uiPriority w:val="29"/>
    <w:qFormat/>
    <w:rPr>
      <w:i/>
    </w:rPr>
  </w:style>
  <w:style w:type="paragraph" w:styleId="1082">
    <w:name w:val="Intense Quote"/>
    <w:link w:val="10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1083" w:customStyle="1">
    <w:name w:val="Intense Quote Char"/>
    <w:link w:val="1082"/>
    <w:uiPriority w:val="30"/>
    <w:qFormat/>
    <w:rPr>
      <w:i/>
    </w:rPr>
  </w:style>
  <w:style w:type="character" w:styleId="1084" w:customStyle="1">
    <w:name w:val="Header Char"/>
    <w:link w:val="1026"/>
    <w:uiPriority w:val="99"/>
    <w:qFormat/>
  </w:style>
  <w:style w:type="character" w:styleId="1085" w:customStyle="1">
    <w:name w:val="Footer Char"/>
    <w:link w:val="1025"/>
    <w:uiPriority w:val="99"/>
    <w:qFormat/>
  </w:style>
  <w:style w:type="character" w:styleId="1086" w:customStyle="1">
    <w:name w:val="Caption Char"/>
    <w:link w:val="1025"/>
    <w:uiPriority w:val="99"/>
    <w:qFormat/>
  </w:style>
  <w:style w:type="table" w:styleId="108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9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9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9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9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9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0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0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0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0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0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0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0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1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1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1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1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2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2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2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2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2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2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2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2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2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3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3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3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3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3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3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4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4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4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4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4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4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4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4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5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5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5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5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5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5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5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6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6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6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6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6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6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6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6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7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7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8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8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8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8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8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8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8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8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9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9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0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0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0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0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1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1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12" w:customStyle="1">
    <w:name w:val="Footnote Text Char"/>
    <w:link w:val="1030"/>
    <w:uiPriority w:val="99"/>
    <w:qFormat/>
    <w:rPr>
      <w:sz w:val="18"/>
    </w:rPr>
  </w:style>
  <w:style w:type="character" w:styleId="1213" w:customStyle="1">
    <w:name w:val="Endnote Text Char"/>
    <w:link w:val="1024"/>
    <w:uiPriority w:val="99"/>
    <w:qFormat/>
    <w:rPr>
      <w:sz w:val="20"/>
    </w:rPr>
  </w:style>
  <w:style w:type="paragraph" w:styleId="1214" w:customStyle="1">
    <w:name w:val="TOC Heading"/>
    <w:uiPriority w:val="39"/>
    <w:unhideWhenUsed/>
    <w:qFormat/>
    <w:rPr>
      <w:rFonts w:hint="default" w:ascii="Times New Roman" w:hAnsi="Times New Roman" w:eastAsia="宋体" w:cs="Times New Roman"/>
    </w:rPr>
  </w:style>
  <w:style w:type="paragraph" w:styleId="1215" w:customStyle="1">
    <w:name w:val="标题 11"/>
    <w:basedOn w:val="1000"/>
    <w:next w:val="1000"/>
    <w:uiPriority w:val="0"/>
    <w:qFormat/>
    <w:pPr>
      <w:jc w:val="center"/>
      <w:keepLines/>
      <w:keepNext/>
      <w:spacing w:before="340" w:after="330" w:line="578" w:lineRule="auto"/>
      <w:outlineLvl w:val="0"/>
    </w:pPr>
    <w:rPr>
      <w:b/>
      <w:bCs/>
      <w:sz w:val="44"/>
      <w:szCs w:val="44"/>
    </w:rPr>
  </w:style>
  <w:style w:type="paragraph" w:styleId="1216" w:customStyle="1">
    <w:name w:val="标题 31"/>
    <w:basedOn w:val="1000"/>
    <w:next w:val="981"/>
    <w:uiPriority w:val="0"/>
    <w:qFormat/>
    <w:pPr>
      <w:keepLines/>
      <w:keepNext/>
      <w:spacing w:before="260" w:after="260" w:line="416" w:lineRule="auto"/>
      <w:outlineLvl w:val="2"/>
    </w:pPr>
    <w:rPr>
      <w:b/>
      <w:bCs/>
      <w:sz w:val="32"/>
      <w:szCs w:val="32"/>
    </w:rPr>
  </w:style>
  <w:style w:type="character" w:styleId="1217" w:customStyle="1">
    <w:name w:val="默认段落字体1"/>
    <w:link w:val="1000"/>
    <w:uiPriority w:val="0"/>
    <w:semiHidden/>
    <w:qFormat/>
  </w:style>
  <w:style w:type="table" w:styleId="1218" w:customStyle="1">
    <w:name w:val="普通表格1"/>
    <w:uiPriority w:val="0"/>
    <w:semiHidden/>
    <w:qFormat/>
    <w:tblPr/>
  </w:style>
  <w:style w:type="character" w:styleId="1219" w:customStyle="1">
    <w:name w:val="页码1"/>
    <w:basedOn w:val="1217"/>
    <w:link w:val="1000"/>
    <w:uiPriority w:val="0"/>
    <w:qFormat/>
  </w:style>
  <w:style w:type="character" w:styleId="1220" w:customStyle="1">
    <w:name w:val="纯文本 Char"/>
    <w:link w:val="1066"/>
    <w:uiPriority w:val="0"/>
    <w:qFormat/>
    <w:rPr>
      <w:rFonts w:ascii="宋体" w:hAnsi="Courier New" w:eastAsia="宋体"/>
      <w:sz w:val="21"/>
      <w:szCs w:val="21"/>
      <w:lang w:bidi="ar-SA"/>
    </w:rPr>
  </w:style>
  <w:style w:type="character" w:styleId="1221" w:customStyle="1">
    <w:name w:val="批注文字 Char"/>
    <w:link w:val="1222"/>
    <w:uiPriority w:val="0"/>
    <w:qFormat/>
    <w:rPr>
      <w:sz w:val="21"/>
      <w:szCs w:val="24"/>
    </w:rPr>
  </w:style>
  <w:style w:type="paragraph" w:styleId="1222" w:customStyle="1">
    <w:name w:val="批注文字1"/>
    <w:basedOn w:val="1000"/>
    <w:link w:val="1221"/>
    <w:uiPriority w:val="0"/>
    <w:qFormat/>
    <w:pPr>
      <w:jc w:val="left"/>
    </w:pPr>
  </w:style>
  <w:style w:type="character" w:styleId="1223" w:customStyle="1">
    <w:name w:val="超链接1"/>
    <w:link w:val="994"/>
    <w:uiPriority w:val="0"/>
    <w:qFormat/>
    <w:rPr>
      <w:rFonts w:ascii="Times New Roman" w:hAnsi="Times New Roman" w:eastAsia="宋体"/>
      <w:sz w:val="21"/>
      <w:szCs w:val="24"/>
      <w:lang w:val="en-US" w:eastAsia="zh-CN" w:bidi="ar-SA"/>
    </w:rPr>
  </w:style>
  <w:style w:type="character" w:styleId="1224" w:customStyle="1">
    <w:name w:val="批注引用1"/>
    <w:link w:val="1000"/>
    <w:uiPriority w:val="0"/>
    <w:qFormat/>
    <w:rPr>
      <w:sz w:val="21"/>
      <w:szCs w:val="21"/>
    </w:rPr>
  </w:style>
  <w:style w:type="character" w:styleId="1225" w:customStyle="1">
    <w:name w:val="普通(网站) Char"/>
    <w:basedOn w:val="1217"/>
    <w:link w:val="1226"/>
    <w:uiPriority w:val="0"/>
    <w:qFormat/>
    <w:rPr>
      <w:rFonts w:ascii="宋体" w:hAnsi="宋体"/>
      <w:sz w:val="24"/>
      <w:szCs w:val="24"/>
    </w:rPr>
  </w:style>
  <w:style w:type="paragraph" w:styleId="1226" w:customStyle="1">
    <w:name w:val="普通(网站)1"/>
    <w:basedOn w:val="1000"/>
    <w:link w:val="1225"/>
    <w:uiPriority w:val="0"/>
    <w:qFormat/>
    <w:pPr>
      <w:jc w:val="left"/>
      <w:spacing w:before="100" w:beforeAutospacing="1" w:after="100" w:afterAutospacing="1"/>
      <w:widowControl/>
    </w:pPr>
    <w:rPr>
      <w:rFonts w:ascii="宋体" w:hAnsi="宋体"/>
      <w:sz w:val="24"/>
    </w:rPr>
  </w:style>
  <w:style w:type="character" w:styleId="1227" w:customStyle="1">
    <w:name w:val="标题 2 Char"/>
    <w:link w:val="1054"/>
    <w:uiPriority w:val="0"/>
    <w:qFormat/>
    <w:rPr>
      <w:rFonts w:ascii="Cambria" w:hAnsi="Cambria"/>
      <w:b/>
      <w:bCs/>
      <w:sz w:val="28"/>
      <w:szCs w:val="32"/>
    </w:rPr>
  </w:style>
  <w:style w:type="character" w:styleId="1228" w:customStyle="1">
    <w:name w:val="正文文本缩进 Char"/>
    <w:basedOn w:val="1217"/>
    <w:link w:val="993"/>
    <w:uiPriority w:val="0"/>
    <w:qFormat/>
    <w:rPr>
      <w:sz w:val="21"/>
      <w:szCs w:val="24"/>
    </w:rPr>
  </w:style>
  <w:style w:type="character" w:styleId="1229" w:customStyle="1">
    <w:name w:val="批注主题 Char"/>
    <w:link w:val="1230"/>
    <w:uiPriority w:val="0"/>
    <w:qFormat/>
    <w:rPr>
      <w:b/>
      <w:bCs/>
      <w:sz w:val="21"/>
      <w:szCs w:val="24"/>
    </w:rPr>
  </w:style>
  <w:style w:type="paragraph" w:styleId="1230" w:customStyle="1">
    <w:name w:val="批注主题1"/>
    <w:basedOn w:val="1222"/>
    <w:next w:val="1222"/>
    <w:link w:val="1229"/>
    <w:uiPriority w:val="0"/>
    <w:qFormat/>
    <w:rPr>
      <w:b/>
      <w:bCs/>
    </w:rPr>
  </w:style>
  <w:style w:type="character" w:styleId="1231" w:customStyle="1">
    <w:name w:val="正文首行缩进 2 Char"/>
    <w:basedOn w:val="1228"/>
    <w:link w:val="1057"/>
    <w:uiPriority w:val="0"/>
    <w:qFormat/>
  </w:style>
  <w:style w:type="character" w:styleId="1232" w:customStyle="1">
    <w:name w:val="批注框文本 Char"/>
    <w:link w:val="1233"/>
    <w:uiPriority w:val="0"/>
    <w:qFormat/>
    <w:rPr>
      <w:sz w:val="18"/>
      <w:szCs w:val="18"/>
    </w:rPr>
  </w:style>
  <w:style w:type="paragraph" w:styleId="1233" w:customStyle="1">
    <w:name w:val="批注框文本1"/>
    <w:basedOn w:val="1000"/>
    <w:link w:val="1232"/>
    <w:uiPriority w:val="0"/>
    <w:qFormat/>
    <w:rPr>
      <w:sz w:val="18"/>
      <w:szCs w:val="18"/>
    </w:rPr>
  </w:style>
  <w:style w:type="paragraph" w:styleId="1234" w:customStyle="1">
    <w:name w:val="页眉1"/>
    <w:basedOn w:val="1000"/>
    <w:uiPriority w:val="0"/>
    <w:qFormat/>
    <w:pPr>
      <w:jc w:val="center"/>
      <w:tabs>
        <w:tab w:val="center" w:pos="4153" w:leader="none"/>
        <w:tab w:val="right" w:pos="8306" w:leader="none"/>
      </w:tabs>
      <w:pBdr>
        <w:bottom w:val="single" w:color="000000" w:sz="6" w:space="1"/>
      </w:pBdr>
    </w:pPr>
    <w:rPr>
      <w:sz w:val="18"/>
      <w:szCs w:val="18"/>
    </w:rPr>
  </w:style>
  <w:style w:type="paragraph" w:styleId="1235" w:customStyle="1">
    <w:name w:val="Default"/>
    <w:uiPriority w:val="0"/>
    <w:qFormat/>
    <w:pPr>
      <w:widowControl w:val="off"/>
    </w:pPr>
    <w:rPr>
      <w:rFonts w:hint="default" w:ascii="宋体" w:hAnsi="宋体" w:eastAsia="宋体" w:cs="Times New Roman"/>
      <w:color w:val="000000"/>
      <w:sz w:val="24"/>
      <w:szCs w:val="22"/>
    </w:rPr>
  </w:style>
  <w:style w:type="paragraph" w:styleId="1236" w:customStyle="1">
    <w:name w:val="Blockquote"/>
    <w:basedOn w:val="1000"/>
    <w:uiPriority w:val="0"/>
    <w:qFormat/>
    <w:pPr>
      <w:ind w:left="764" w:right="567"/>
      <w:jc w:val="left"/>
      <w:spacing w:before="100" w:after="100"/>
    </w:pPr>
    <w:rPr>
      <w:sz w:val="24"/>
    </w:rPr>
  </w:style>
  <w:style w:type="paragraph" w:styleId="1237" w:customStyle="1">
    <w:name w:val="彩色列表 - 强调文字颜色 11"/>
    <w:basedOn w:val="1000"/>
    <w:uiPriority w:val="0"/>
    <w:qFormat/>
    <w:pPr>
      <w:ind w:firstLine="420"/>
    </w:pPr>
    <w:rPr>
      <w:rFonts w:ascii="Calibri" w:hAnsi="Calibri"/>
      <w:sz w:val="22"/>
      <w:szCs w:val="22"/>
    </w:rPr>
  </w:style>
  <w:style w:type="paragraph" w:styleId="1238" w:customStyle="1">
    <w:name w:val="Char"/>
    <w:basedOn w:val="1000"/>
    <w:uiPriority w:val="0"/>
    <w:qFormat/>
    <w:pPr>
      <w:tabs>
        <w:tab w:val="left" w:pos="360" w:leader="none"/>
      </w:tabs>
    </w:pPr>
    <w:rPr>
      <w:sz w:val="24"/>
    </w:rPr>
  </w:style>
  <w:style w:type="paragraph" w:styleId="1239"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240" w:customStyle="1">
    <w:name w:val="表格3"/>
    <w:basedOn w:val="1000"/>
    <w:uiPriority w:val="0"/>
    <w:qFormat/>
    <w:pPr>
      <w:jc w:val="center"/>
    </w:pPr>
  </w:style>
  <w:style w:type="paragraph" w:styleId="1241" w:customStyle="1">
    <w:name w:val="页脚1"/>
    <w:basedOn w:val="1000"/>
    <w:uiPriority w:val="0"/>
    <w:qFormat/>
    <w:pPr>
      <w:jc w:val="left"/>
      <w:tabs>
        <w:tab w:val="center" w:pos="4153" w:leader="none"/>
        <w:tab w:val="right" w:pos="8306" w:leader="none"/>
      </w:tabs>
    </w:pPr>
    <w:rPr>
      <w:sz w:val="18"/>
      <w:szCs w:val="18"/>
    </w:rPr>
  </w:style>
  <w:style w:type="paragraph" w:styleId="124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43" w:customStyle="1">
    <w:name w:val="_Style 2"/>
    <w:basedOn w:val="1215"/>
    <w:next w:val="1000"/>
    <w:uiPriority w:val="0"/>
    <w:qFormat/>
    <w:pPr>
      <w:jc w:val="both"/>
      <w:keepLines/>
      <w:spacing w:before="340" w:after="330" w:line="576" w:lineRule="auto"/>
      <w:outlineLvl w:val="9"/>
    </w:pPr>
    <w:rPr>
      <w:rFonts w:ascii="Times New Roman" w:hAnsi="Times New Roman"/>
      <w:sz w:val="44"/>
      <w:szCs w:val="44"/>
    </w:rPr>
  </w:style>
  <w:style w:type="paragraph" w:styleId="1244" w:customStyle="1">
    <w:name w:val="p0"/>
    <w:basedOn w:val="1000"/>
    <w:uiPriority w:val="0"/>
    <w:qFormat/>
    <w:pPr>
      <w:widowControl/>
    </w:pPr>
    <w:rPr>
      <w:sz w:val="21"/>
      <w:szCs w:val="21"/>
    </w:rPr>
  </w:style>
  <w:style w:type="paragraph" w:styleId="1245" w:customStyle="1">
    <w:name w:val="列出段落"/>
    <w:basedOn w:val="1000"/>
    <w:uiPriority w:val="0"/>
    <w:qFormat/>
    <w:pPr>
      <w:ind w:firstLine="420"/>
    </w:pPr>
    <w:rPr>
      <w:rFonts w:ascii="Calibri" w:hAnsi="Calibri"/>
    </w:rPr>
  </w:style>
  <w:style w:type="paragraph" w:styleId="1246" w:customStyle="1">
    <w:name w:val="默认段落字体 Para Char Char Char Char Char Char Char"/>
    <w:basedOn w:val="1000"/>
    <w:uiPriority w:val="0"/>
    <w:qFormat/>
    <w:rPr>
      <w:rFonts w:ascii="Tahoma" w:hAnsi="Tahoma"/>
      <w:sz w:val="24"/>
      <w:szCs w:val="20"/>
    </w:rPr>
  </w:style>
  <w:style w:type="table" w:styleId="1247" w:customStyle="1">
    <w:name w:val="网格型1"/>
    <w:basedOn w:val="1218"/>
    <w:uiPriority w:val="0"/>
    <w:qFormat/>
    <w:tblPr/>
  </w:style>
  <w:style w:type="table" w:styleId="1248" w:customStyle="1">
    <w:name w:val="Table Normal"/>
    <w:uiPriority w:val="0"/>
    <w:semiHidden/>
    <w:unhideWhenUsed/>
    <w:qFormat/>
    <w:tblPr>
      <w:tblCellMar>
        <w:left w:w="0" w:type="dxa"/>
        <w:top w:w="0" w:type="dxa"/>
        <w:right w:w="0" w:type="dxa"/>
        <w:bottom w:w="0" w:type="dxa"/>
      </w:tblCellMar>
    </w:tblPr>
  </w:style>
  <w:style w:type="paragraph" w:styleId="1249" w:customStyle="1">
    <w:name w:val="彩色列表 - 着色 11"/>
    <w:basedOn w:val="981"/>
    <w:uiPriority w:val="0"/>
    <w:qFormat/>
    <w:pPr>
      <w:ind w:firstLine="420"/>
    </w:pPr>
    <w:rPr>
      <w:sz w:val="20"/>
    </w:rPr>
  </w:style>
  <w:style w:type="character" w:styleId="1250" w:customStyle="1">
    <w:name w:val="NormalCharacter"/>
    <w:link w:val="1000"/>
    <w:uiPriority w:val="0"/>
    <w:semiHidden/>
    <w:qFormat/>
    <w:rPr>
      <w:rFonts w:hint="default" w:ascii="Times New Roman" w:hAnsi="Times New Roman" w:eastAsia="宋体" w:cs="Times New Roman"/>
      <w:lang w:val="en-US" w:eastAsia="zh-CN" w:bidi="ar-SA"/>
    </w:rPr>
  </w:style>
  <w:style w:type="paragraph" w:styleId="1251" w:customStyle="1">
    <w:name w:val="Table Paragraph"/>
    <w:basedOn w:val="981"/>
    <w:uiPriority w:val="99"/>
    <w:qFormat/>
  </w:style>
  <w:style w:type="paragraph" w:styleId="1252" w:customStyle="1">
    <w:name w:val="正文1111"/>
    <w:next w:val="1253"/>
    <w:uiPriority w:val="0"/>
    <w:qFormat/>
    <w:rPr>
      <w:rFonts w:hint="default" w:ascii="Calibri" w:hAnsi="Calibri" w:eastAsia="Calibri" w:cs="Times New Roman"/>
    </w:rPr>
  </w:style>
  <w:style w:type="paragraph" w:styleId="1253" w:customStyle="1">
    <w:name w:val="标题 211"/>
    <w:basedOn w:val="1000"/>
    <w:next w:val="1000"/>
    <w:uiPriority w:val="0"/>
    <w:qFormat/>
    <w:pPr>
      <w:keepLines/>
      <w:keepNext/>
      <w:spacing w:before="260" w:after="260" w:line="416" w:lineRule="auto"/>
      <w:outlineLvl w:val="1"/>
    </w:pPr>
    <w:rPr>
      <w:rFonts w:ascii="Calibri Light" w:hAnsi="Calibri Light"/>
      <w:b/>
      <w:bCs/>
      <w:sz w:val="32"/>
      <w:szCs w:val="32"/>
    </w:rPr>
  </w:style>
  <w:style w:type="paragraph" w:styleId="1254" w:customStyle="1">
    <w:name w:val="文本块111"/>
    <w:basedOn w:val="1252"/>
    <w:uiPriority w:val="0"/>
    <w:qFormat/>
    <w:pPr>
      <w:ind w:left="1440" w:right="1440"/>
      <w:spacing w:after="120"/>
    </w:pPr>
  </w:style>
  <w:style w:type="character" w:styleId="1255" w:customStyle="1">
    <w:name w:val="hover"/>
    <w:basedOn w:val="991"/>
    <w:uiPriority w:val="0"/>
    <w:qFormat/>
    <w:rPr>
      <w:color w:val="5fb878"/>
    </w:rPr>
  </w:style>
  <w:style w:type="character" w:styleId="1256" w:customStyle="1">
    <w:name w:val="hover1"/>
    <w:basedOn w:val="991"/>
    <w:uiPriority w:val="0"/>
    <w:qFormat/>
    <w:rPr>
      <w:color w:val="5fb878"/>
    </w:rPr>
  </w:style>
  <w:style w:type="character" w:styleId="1257" w:customStyle="1">
    <w:name w:val="hover2"/>
    <w:basedOn w:val="991"/>
    <w:uiPriority w:val="0"/>
    <w:qFormat/>
    <w:rPr>
      <w:color w:val="ffffff"/>
    </w:rPr>
  </w:style>
  <w:style w:type="paragraph" w:styleId="1258" w:customStyle="1">
    <w:name w:val="正文首行缩进 22"/>
    <w:basedOn w:val="1259"/>
    <w:next w:val="997"/>
    <w:uiPriority w:val="0"/>
    <w:qFormat/>
    <w:pPr>
      <w:ind w:left="0" w:firstLine="420"/>
      <w:spacing w:after="0" w:line="360" w:lineRule="auto"/>
    </w:pPr>
    <w:rPr>
      <w:rFonts w:ascii="宋体" w:hAnsi="宋体"/>
      <w:sz w:val="20"/>
      <w:szCs w:val="20"/>
    </w:rPr>
  </w:style>
  <w:style w:type="paragraph" w:styleId="1259" w:customStyle="1">
    <w:name w:val="正文文本缩进2"/>
    <w:basedOn w:val="981"/>
    <w:next w:val="1260"/>
    <w:uiPriority w:val="0"/>
    <w:qFormat/>
    <w:pPr>
      <w:ind w:left="420"/>
      <w:spacing w:after="120"/>
    </w:pPr>
  </w:style>
  <w:style w:type="paragraph" w:styleId="1260" w:customStyle="1">
    <w:name w:val="寄信人地址2"/>
    <w:basedOn w:val="981"/>
    <w:uiPriority w:val="0"/>
    <w:qFormat/>
    <w:rPr>
      <w:rFonts w:ascii="Arial" w:hAnsi="Arial"/>
    </w:rPr>
  </w:style>
  <w:style w:type="paragraph" w:styleId="1261" w:customStyle="1">
    <w:name w:val="正文文本缩进 21"/>
    <w:basedOn w:val="981"/>
    <w:uiPriority w:val="99"/>
    <w:qFormat/>
    <w:pPr>
      <w:ind w:left="630" w:firstLine="645"/>
    </w:pPr>
    <w:rPr>
      <w:rFonts w:ascii="Arial" w:hAnsi="Arial" w:eastAsia="仿宋_GB2312" w:cs="Arial"/>
      <w:sz w:val="32"/>
      <w:szCs w:val="32"/>
    </w:rPr>
  </w:style>
  <w:style w:type="paragraph" w:styleId="1262" w:customStyle="1">
    <w:name w:val="BodyText1"/>
    <w:basedOn w:val="1252"/>
    <w:uiPriority w:val="0"/>
    <w:qFormat/>
    <w:pPr>
      <w:spacing w:line="380" w:lineRule="exact"/>
    </w:pPr>
  </w:style>
  <w:style w:type="paragraph" w:styleId="1263" w:customStyle="1">
    <w:name w:val="TOC 标题2"/>
    <w:basedOn w:val="1215"/>
    <w:next w:val="1000"/>
    <w:uiPriority w:val="0"/>
    <w:unhideWhenUsed/>
    <w:qFormat/>
    <w:pPr>
      <w:jc w:val="center"/>
      <w:spacing w:before="260" w:after="260" w:line="413" w:lineRule="auto"/>
    </w:pPr>
    <w:rPr>
      <w:rFonts w:hint="eastAsia" w:ascii="宋体" w:hAnsi="宋体"/>
      <w:sz w:val="36"/>
      <w:lang w:val="zh-CN"/>
    </w:rPr>
  </w:style>
  <w:style w:type="paragraph" w:styleId="1264" w:customStyle="1">
    <w:name w:val="正文_0_0"/>
    <w:uiPriority w:val="99"/>
    <w:unhideWhenUsed/>
    <w:qFormat/>
    <w:rPr>
      <w:rFonts w:hint="default" w:ascii="Calibri" w:hAnsi="Calibri" w:eastAsia="宋体" w:cs="Times New Roman"/>
      <w:sz w:val="21"/>
      <w:lang w:val="en-US" w:eastAsia="zh-CN" w:bidi="ar-SA"/>
    </w:rPr>
  </w:style>
  <w:style w:type="paragraph" w:styleId="1265" w:customStyle="1">
    <w:name w:val="页眉11"/>
    <w:basedOn w:val="98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66" w:customStyle="1">
    <w:name w:val="页脚11"/>
    <w:basedOn w:val="981"/>
    <w:uiPriority w:val="99"/>
    <w:unhideWhenUsed/>
    <w:qFormat/>
    <w:pPr>
      <w:tabs>
        <w:tab w:val="center" w:pos="7143" w:leader="none"/>
        <w:tab w:val="right" w:pos="14287" w:leader="none"/>
      </w:tabs>
    </w:pPr>
  </w:style>
  <w:style w:type="paragraph" w:styleId="1267" w:customStyle="1">
    <w:name w:val="文本块21"/>
    <w:basedOn w:val="981"/>
    <w:uiPriority w:val="6"/>
    <w:qFormat/>
    <w:pPr>
      <w:ind w:left="420" w:right="33"/>
      <w:jc w:val="left"/>
    </w:pPr>
    <w:rPr>
      <w:sz w:val="24"/>
      <w:szCs w:val="20"/>
    </w:rPr>
  </w:style>
  <w:style w:type="numbering" w:styleId="12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dc:creator>
  <cp:lastModifiedBy>刘春梅</cp:lastModifiedBy>
  <cp:revision>24</cp:revision>
  <dcterms:created xsi:type="dcterms:W3CDTF">2022-06-02T02:56:00Z</dcterms:created>
  <dcterms:modified xsi:type="dcterms:W3CDTF">2025-11-13T03:47:11Z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069131EC9D2043DE956575E1A9DDE54D_13</vt:lpwstr>
  </property>
  <property fmtid="{D5CDD505-2E9C-101B-9397-08002B2CF9AE}" pid="4" name="KSOTemplateDocerSaveRecord">
    <vt:lpwstr>eyJoZGlkIjoiODUxOWRiZDZkZDExNjdhOGY0MDIxMzE4MjMwYzUzZDkiLCJ1c2VySWQiOiIyOTA2NzI2MjYifQ==</vt:lpwstr>
  </property>
</Properties>
</file>